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14:paraId="7DCC1509" w14:textId="77777777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E80B57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7BB3F4C7" wp14:editId="41C27958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080D01" w14:textId="53070FC9" w:rsidR="00F9085A" w:rsidRDefault="00571C42" w:rsidP="00571C42">
            <w:pPr>
              <w:jc w:val="center"/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</w:rPr>
              <w:t>BO001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AE7B7B3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267F5427" w14:textId="77777777" w:rsidR="00F9085A" w:rsidRDefault="00F9085A"/>
        </w:tc>
      </w:tr>
      <w:tr w:rsidR="00F9085A" w14:paraId="6721DDC0" w14:textId="77777777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F54E" w14:textId="77777777" w:rsidR="00F9085A" w:rsidRPr="004F172C" w:rsidRDefault="006A4CB4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cs="Calibri"/>
              </w:rPr>
            </w:pPr>
            <w:sdt>
              <w:sdtPr>
                <w:rPr>
                  <w:rFonts w:eastAsia="Calibri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eastAsia="Calibri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eastAsia="Calibri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eastAsia="Calibri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B826EB4" w14:textId="77777777"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45DDC02A" w14:textId="77777777" w:rsidR="00F9085A" w:rsidRDefault="00F9085A"/>
        </w:tc>
      </w:tr>
      <w:tr w:rsidR="00F9085A" w:rsidRPr="007E60A7" w14:paraId="14D3CC52" w14:textId="7777777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50E6E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eastAsia="Calibri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09475939" w14:textId="77777777" w:rsidR="00F9085A" w:rsidRPr="000341E3" w:rsidRDefault="00A41752" w:rsidP="00571C42">
                <w:pPr>
                  <w:spacing w:before="80"/>
                  <w:jc w:val="center"/>
                  <w:rPr>
                    <w:rFonts w:eastAsia="Calibri" w:cs="Times New Roman"/>
                    <w:caps/>
                    <w:sz w:val="24"/>
                    <w:szCs w:val="22"/>
                  </w:rPr>
                </w:pPr>
                <w:r>
                  <w:rPr>
                    <w:rFonts w:cs="Arial"/>
                    <w:sz w:val="24"/>
                    <w:szCs w:val="22"/>
                  </w:rPr>
                  <w:t>PROTOCOLE RAPIDE DE DÉSENSIBILISATION À L'ASPIRINE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368938" w14:textId="77777777" w:rsidR="00F9085A" w:rsidRPr="007E60A7" w:rsidRDefault="00F9085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743AF4F2" w14:textId="77777777" w:rsidR="00F9085A" w:rsidRPr="007E60A7" w:rsidRDefault="00F9085A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C732E" w:rsidRPr="007E60A7" w14:paraId="3CC9F8F6" w14:textId="7777777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2288D" w14:textId="77777777" w:rsidR="005C732E" w:rsidRPr="00F9085A" w:rsidRDefault="005C732E" w:rsidP="005C732E">
            <w:pPr>
              <w:spacing w:before="120"/>
              <w:ind w:right="-146"/>
              <w:rPr>
                <w:rFonts w:cs="Times New Roman"/>
                <w:szCs w:val="24"/>
              </w:rPr>
            </w:pPr>
            <w:r w:rsidRPr="00F9085A">
              <w:rPr>
                <w:rFonts w:cs="Times New Roman"/>
                <w:szCs w:val="24"/>
              </w:rPr>
              <w:t>Allergie</w:t>
            </w:r>
            <w:r>
              <w:rPr>
                <w:rFonts w:cs="Times New Roman"/>
                <w:szCs w:val="24"/>
              </w:rPr>
              <w:t>s</w:t>
            </w:r>
            <w:r w:rsidRPr="00F9085A">
              <w:rPr>
                <w:rFonts w:cs="Times New Roman"/>
                <w:szCs w:val="24"/>
              </w:rPr>
              <w:t xml:space="preserve"> médicamenteuse</w:t>
            </w:r>
            <w:r>
              <w:rPr>
                <w:rFonts w:cs="Times New Roman"/>
                <w:szCs w:val="24"/>
              </w:rPr>
              <w:t>s</w:t>
            </w:r>
            <w:r w:rsidRPr="00F9085A">
              <w:rPr>
                <w:rFonts w:cs="Times New Roman"/>
                <w:szCs w:val="24"/>
                <w:vertAlign w:val="superscript"/>
              </w:rPr>
              <w:t>1</w:t>
            </w:r>
            <w:r>
              <w:rPr>
                <w:rFonts w:cs="Times New Roman"/>
                <w:szCs w:val="24"/>
              </w:rPr>
              <w:t>/i</w:t>
            </w:r>
            <w:r w:rsidRPr="00F9085A">
              <w:rPr>
                <w:rFonts w:cs="Times New Roman"/>
                <w:szCs w:val="24"/>
              </w:rPr>
              <w:t>ntolérances</w:t>
            </w:r>
            <w:r w:rsidRPr="00F9085A">
              <w:rPr>
                <w:rFonts w:cs="Times New Roman"/>
                <w:szCs w:val="24"/>
                <w:vertAlign w:val="superscript"/>
              </w:rPr>
              <w:t>1</w:t>
            </w:r>
            <w:r w:rsidRPr="00F9085A">
              <w:rPr>
                <w:rFonts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A7CFF" w14:textId="77777777" w:rsidR="005C732E" w:rsidRPr="00F9085A" w:rsidRDefault="005C732E" w:rsidP="005C732E">
            <w:pPr>
              <w:spacing w:before="120"/>
              <w:ind w:right="-146"/>
              <w:rPr>
                <w:rFonts w:cs="Times New Roman"/>
                <w:szCs w:val="24"/>
              </w:rPr>
            </w:pPr>
          </w:p>
        </w:tc>
      </w:tr>
      <w:tr w:rsidR="00F9085A" w:rsidRPr="007E60A7" w14:paraId="01A099E0" w14:textId="7777777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0C34B" w14:textId="77777777" w:rsidR="00F9085A" w:rsidRPr="007E60A7" w:rsidRDefault="00F9085A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30EA7D" w14:textId="77777777" w:rsidR="00F9085A" w:rsidRPr="007E60A7" w:rsidRDefault="00F9085A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F9085A" w:rsidRPr="006F2376" w14:paraId="28E71EB8" w14:textId="77777777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093BDF66" w14:textId="77777777" w:rsidR="00F9085A" w:rsidRPr="006F2376" w:rsidRDefault="00F9085A" w:rsidP="006F2376">
            <w:pPr>
              <w:spacing w:before="20"/>
              <w:jc w:val="center"/>
              <w:rPr>
                <w:rFonts w:cs="Times New Roman"/>
                <w:b/>
                <w:sz w:val="18"/>
                <w:vertAlign w:val="superscript"/>
              </w:rPr>
            </w:pPr>
            <w:r w:rsidRPr="006F2376">
              <w:rPr>
                <w:rFonts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58F6084C" w14:textId="77777777" w:rsidR="00F9085A" w:rsidRPr="006F2376" w:rsidRDefault="00F9085A" w:rsidP="006F2376">
            <w:pPr>
              <w:spacing w:before="20"/>
              <w:jc w:val="center"/>
              <w:rPr>
                <w:rFonts w:cs="Times New Roman"/>
                <w:b/>
                <w:sz w:val="18"/>
                <w:vertAlign w:val="superscript"/>
              </w:rPr>
            </w:pPr>
            <w:r w:rsidRPr="006F2376">
              <w:rPr>
                <w:rFonts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71A93272" w14:textId="77777777" w:rsidR="00F9085A" w:rsidRPr="006F2376" w:rsidRDefault="00F9085A" w:rsidP="006F2376">
            <w:pPr>
              <w:spacing w:before="20"/>
              <w:jc w:val="center"/>
              <w:rPr>
                <w:rFonts w:cs="Times New Roman"/>
                <w:b/>
                <w:sz w:val="18"/>
                <w:vertAlign w:val="superscript"/>
              </w:rPr>
            </w:pPr>
            <w:r w:rsidRPr="006F2376">
              <w:rPr>
                <w:rFonts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0301380D" w14:textId="77777777" w:rsidR="00F9085A" w:rsidRPr="006F2376" w:rsidRDefault="00F9085A">
            <w:pPr>
              <w:rPr>
                <w:rFonts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00F48" w14:textId="77777777" w:rsidR="00F9085A" w:rsidRPr="006F2376" w:rsidRDefault="00F9085A">
            <w:pPr>
              <w:rPr>
                <w:rFonts w:cs="Times New Roman"/>
                <w:sz w:val="12"/>
                <w:szCs w:val="24"/>
              </w:rPr>
            </w:pPr>
          </w:p>
        </w:tc>
      </w:tr>
      <w:tr w:rsidR="00AC0F99" w:rsidRPr="007E60A7" w14:paraId="7C515D11" w14:textId="7777777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45922FFE" w14:textId="77777777" w:rsidR="00AC0F99" w:rsidRPr="007E60A7" w:rsidRDefault="00AC0F99">
            <w:pPr>
              <w:rPr>
                <w:rFonts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1447F120" w14:textId="77777777" w:rsidR="00AC0F99" w:rsidRPr="007E60A7" w:rsidRDefault="00AC0F99">
            <w:pPr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6FA27E7" w14:textId="77777777" w:rsidR="00AC0F99" w:rsidRPr="007E60A7" w:rsidRDefault="00AC0F99">
            <w:pPr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D98323" w14:textId="77777777" w:rsidR="00AC0F99" w:rsidRPr="007E60A7" w:rsidRDefault="00AC0F99">
            <w:pPr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488B4B9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B8A0355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8AEC3D3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539B3783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AD8FD5" w14:textId="77777777" w:rsidR="00AC0F99" w:rsidRPr="007E60A7" w:rsidRDefault="00AC0F99" w:rsidP="00235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E60A7">
              <w:rPr>
                <w:rFonts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739FCB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5F82E" w14:textId="77777777" w:rsidR="00AC0F99" w:rsidRPr="007E60A7" w:rsidRDefault="00AC0F99" w:rsidP="00D364AF">
            <w:pPr>
              <w:ind w:right="-34"/>
              <w:jc w:val="right"/>
              <w:rPr>
                <w:rFonts w:cs="Times New Roman"/>
                <w:sz w:val="24"/>
                <w:szCs w:val="24"/>
              </w:rPr>
            </w:pPr>
            <w:r w:rsidRPr="007E60A7">
              <w:rPr>
                <w:rFonts w:cs="Times New Roman"/>
                <w:sz w:val="22"/>
                <w:szCs w:val="24"/>
              </w:rPr>
              <w:t>Poids</w:t>
            </w:r>
            <w:r w:rsidR="00BC11CE" w:rsidRPr="00AD197E">
              <w:rPr>
                <w:rFonts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EB07D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57297" w14:textId="77777777" w:rsidR="00AC0F99" w:rsidRPr="007E60A7" w:rsidRDefault="00AC0F99" w:rsidP="00D364AF">
            <w:pPr>
              <w:jc w:val="left"/>
              <w:rPr>
                <w:rFonts w:cs="Times New Roman"/>
                <w:sz w:val="24"/>
                <w:szCs w:val="24"/>
              </w:rPr>
            </w:pPr>
            <w:r w:rsidRPr="00D364AF">
              <w:rPr>
                <w:rFonts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9FA1F" w14:textId="77777777" w:rsidR="00AC0F99" w:rsidRPr="007E60A7" w:rsidRDefault="00AC0F99" w:rsidP="00D364AF">
            <w:pPr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7E60A7">
              <w:rPr>
                <w:rFonts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D6D59" w14:textId="77777777" w:rsidR="00AC0F99" w:rsidRPr="007E60A7" w:rsidRDefault="00AC0F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D35C" w14:textId="77777777" w:rsidR="00AC0F99" w:rsidRPr="007E60A7" w:rsidRDefault="00AC0F99" w:rsidP="00D364AF">
            <w:pPr>
              <w:jc w:val="left"/>
              <w:rPr>
                <w:rFonts w:cs="Times New Roman"/>
                <w:sz w:val="24"/>
                <w:szCs w:val="24"/>
              </w:rPr>
            </w:pPr>
            <w:r w:rsidRPr="00D364AF">
              <w:rPr>
                <w:rFonts w:cs="Times New Roman"/>
                <w:sz w:val="22"/>
                <w:szCs w:val="24"/>
              </w:rPr>
              <w:t>cm</w:t>
            </w:r>
          </w:p>
        </w:tc>
      </w:tr>
      <w:tr w:rsidR="00900571" w:rsidRPr="007E60A7" w14:paraId="7A05184F" w14:textId="77777777" w:rsidTr="005C732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586C3DB3" w14:textId="77777777" w:rsidR="00900571" w:rsidRPr="006F2376" w:rsidRDefault="00900571" w:rsidP="0026454D">
            <w:pPr>
              <w:jc w:val="center"/>
              <w:rPr>
                <w:rFonts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B87E4DA" w14:textId="77777777" w:rsidR="00900571" w:rsidRPr="006F2376" w:rsidRDefault="00900571" w:rsidP="0026454D">
            <w:pPr>
              <w:jc w:val="center"/>
              <w:rPr>
                <w:rFonts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7635D75" w14:textId="77777777" w:rsidR="00900571" w:rsidRPr="006F2376" w:rsidRDefault="00900571">
            <w:pPr>
              <w:rPr>
                <w:rFonts w:cs="Times New Roman"/>
                <w:sz w:val="12"/>
                <w:szCs w:val="24"/>
              </w:rPr>
            </w:pPr>
          </w:p>
        </w:tc>
      </w:tr>
      <w:tr w:rsidR="005C732E" w:rsidRPr="007E60A7" w14:paraId="59514147" w14:textId="77777777" w:rsidTr="00DE623B">
        <w:trPr>
          <w:gridAfter w:val="1"/>
          <w:wAfter w:w="52" w:type="dxa"/>
          <w:trHeight w:val="4759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4FAD1C9B" w14:textId="09133CEC" w:rsidR="00AE4C39" w:rsidRPr="004803DF" w:rsidRDefault="00AE4C39" w:rsidP="00EB379B">
            <w:pPr>
              <w:widowControl w:val="0"/>
              <w:spacing w:before="240" w:after="60"/>
              <w:rPr>
                <w:rFonts w:eastAsia="Times New Roman" w:cs="Arial"/>
                <w:b/>
                <w:bCs/>
                <w:color w:val="000000"/>
                <w:szCs w:val="22"/>
                <w:u w:val="single"/>
                <w:lang w:eastAsia="fr-FR"/>
              </w:rPr>
            </w:pPr>
            <w:r w:rsidRPr="004803DF">
              <w:rPr>
                <w:rFonts w:eastAsia="Times New Roman" w:cs="Arial"/>
                <w:b/>
                <w:bCs/>
                <w:color w:val="000000"/>
                <w:szCs w:val="22"/>
                <w:u w:val="single"/>
                <w:lang w:eastAsia="fr-FR"/>
              </w:rPr>
              <w:t>Conditions pour débuter le protocole de désensibilisation</w:t>
            </w:r>
          </w:p>
          <w:p w14:paraId="3F2F5128" w14:textId="71C46181" w:rsidR="00AE4C39" w:rsidRDefault="00AE4C39" w:rsidP="00571C42">
            <w:pPr>
              <w:widowControl w:val="0"/>
              <w:numPr>
                <w:ilvl w:val="0"/>
                <w:numId w:val="6"/>
              </w:numPr>
              <w:spacing w:before="120"/>
              <w:ind w:left="426" w:hanging="284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Aviser l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’usager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 des r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isques de la désensibilisation</w:t>
            </w:r>
          </w:p>
          <w:p w14:paraId="1549461F" w14:textId="4A3A9C70" w:rsidR="00AE4C39" w:rsidRDefault="00AE4C39" w:rsidP="00571C42">
            <w:pPr>
              <w:widowControl w:val="0"/>
              <w:tabs>
                <w:tab w:val="left" w:pos="7088"/>
                <w:tab w:val="left" w:pos="9781"/>
              </w:tabs>
              <w:spacing w:before="12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b/>
                <w:bCs/>
                <w:color w:val="000000"/>
                <w:lang w:eastAsia="fr-FR"/>
              </w:rPr>
            </w:r>
            <w:r w:rsidR="006A4CB4">
              <w:rPr>
                <w:rFonts w:eastAsia="Times New Roman" w:cs="Arial"/>
                <w:b/>
                <w:bCs/>
                <w:color w:val="000000"/>
                <w:lang w:eastAsia="fr-FR"/>
              </w:rPr>
              <w:fldChar w:fldCharType="separate"/>
            </w:r>
            <w:r>
              <w:fldChar w:fldCharType="end"/>
            </w:r>
            <w:bookmarkEnd w:id="1"/>
            <w:r w:rsidR="00560FF0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 C</w:t>
            </w:r>
            <w:r w:rsidR="002B42D7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ocher </w:t>
            </w:r>
            <w:r w:rsidRPr="00571C42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si </w:t>
            </w:r>
            <w:r w:rsidR="00571C42" w:rsidRPr="00571C42">
              <w:rPr>
                <w:rFonts w:eastAsia="Times New Roman" w:cs="Arial"/>
                <w:b/>
                <w:bCs/>
                <w:color w:val="000000"/>
                <w:lang w:eastAsia="fr-FR"/>
              </w:rPr>
              <w:t>usager avisé que :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Initiales 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 xml:space="preserve">médecin : </w:t>
            </w:r>
            <w:r w:rsidRPr="00571C42"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 xml:space="preserve">  </w:t>
            </w:r>
            <w:r w:rsidR="00571C42" w:rsidRPr="00571C42"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</w:p>
          <w:p w14:paraId="3713DDE4" w14:textId="6E67BCDF" w:rsidR="00AE4C39" w:rsidRDefault="00AE4C39" w:rsidP="00571C42">
            <w:pPr>
              <w:widowControl w:val="0"/>
              <w:numPr>
                <w:ilvl w:val="1"/>
                <w:numId w:val="6"/>
              </w:numPr>
              <w:spacing w:before="40"/>
              <w:ind w:left="1134" w:hanging="283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L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’usager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 est t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oujours allergique à l’aspirine</w:t>
            </w:r>
          </w:p>
          <w:p w14:paraId="10344A60" w14:textId="7E56BD33" w:rsidR="00AE4C39" w:rsidRDefault="00AE4C39" w:rsidP="00571C42">
            <w:pPr>
              <w:widowControl w:val="0"/>
              <w:numPr>
                <w:ilvl w:val="1"/>
                <w:numId w:val="6"/>
              </w:numPr>
              <w:ind w:left="1134" w:hanging="283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Une dose d’aspirine inférieure ou égale à celle prévue au protocole de désensibilisatio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n peut être prise par l’usager</w:t>
            </w:r>
          </w:p>
          <w:p w14:paraId="4115F07C" w14:textId="65941E2E" w:rsidR="00AE4C39" w:rsidRDefault="00AE4C39" w:rsidP="00571C42">
            <w:pPr>
              <w:widowControl w:val="0"/>
              <w:numPr>
                <w:ilvl w:val="0"/>
                <w:numId w:val="6"/>
              </w:numPr>
              <w:spacing w:before="120"/>
              <w:ind w:left="426" w:hanging="284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Aviser l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 xml:space="preserve">’usager 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de l’importance de l’observance thérapeutique pour le ma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intien de la désensibilisation</w:t>
            </w:r>
          </w:p>
          <w:p w14:paraId="01B793F3" w14:textId="12AF459C" w:rsidR="00AE4C39" w:rsidRDefault="00AE4C39" w:rsidP="00571C42">
            <w:pPr>
              <w:widowControl w:val="0"/>
              <w:tabs>
                <w:tab w:val="left" w:pos="7088"/>
                <w:tab w:val="left" w:pos="9781"/>
              </w:tabs>
              <w:spacing w:before="12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b/>
                <w:bCs/>
                <w:color w:val="000000"/>
                <w:lang w:eastAsia="fr-FR"/>
              </w:rPr>
            </w:r>
            <w:r w:rsidR="006A4CB4">
              <w:rPr>
                <w:rFonts w:eastAsia="Times New Roman" w:cs="Arial"/>
                <w:b/>
                <w:bCs/>
                <w:color w:val="000000"/>
                <w:lang w:eastAsia="fr-FR"/>
              </w:rPr>
              <w:fldChar w:fldCharType="separate"/>
            </w:r>
            <w:r>
              <w:fldChar w:fldCharType="end"/>
            </w:r>
            <w:bookmarkEnd w:id="2"/>
            <w:r w:rsidR="00560FF0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t>Cocher si</w:t>
            </w:r>
            <w:r w:rsidR="00571C42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 usager</w:t>
            </w:r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 avisé que 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: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ab/>
              <w:t xml:space="preserve">Initiales médecin : </w:t>
            </w:r>
            <w:r w:rsidR="00571C42" w:rsidRPr="00571C42"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</w:p>
          <w:p w14:paraId="7AB38F04" w14:textId="77B98CEF" w:rsidR="00AE4C39" w:rsidRDefault="00AE4C39" w:rsidP="00571C42">
            <w:pPr>
              <w:widowControl w:val="0"/>
              <w:numPr>
                <w:ilvl w:val="1"/>
                <w:numId w:val="6"/>
              </w:numPr>
              <w:spacing w:before="40"/>
              <w:ind w:left="1134" w:hanging="283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La dose d’aspirine doit être prise à tous les jours à la même heure (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 xml:space="preserve">plus ou moins 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1 heure)</w:t>
            </w:r>
          </w:p>
          <w:p w14:paraId="0A780770" w14:textId="27F8240A" w:rsidR="00AE4C39" w:rsidRPr="007429CE" w:rsidRDefault="00AE4C39" w:rsidP="00571C42">
            <w:pPr>
              <w:widowControl w:val="0"/>
              <w:numPr>
                <w:ilvl w:val="1"/>
                <w:numId w:val="6"/>
              </w:numPr>
              <w:spacing w:after="60"/>
              <w:ind w:left="1134" w:hanging="283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Si plus de 2 doses consécutives ont été oubliées, cesser l’aspirine et contactez votre médecin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 xml:space="preserve"> avant la reprise de l’aspirine</w:t>
            </w:r>
          </w:p>
          <w:p w14:paraId="39C1FF72" w14:textId="48B2BC46" w:rsidR="00AE4C39" w:rsidRDefault="00AE4C39" w:rsidP="00571C42">
            <w:pPr>
              <w:widowControl w:val="0"/>
              <w:numPr>
                <w:ilvl w:val="0"/>
                <w:numId w:val="6"/>
              </w:numPr>
              <w:spacing w:before="120"/>
              <w:ind w:left="426" w:hanging="284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>Présence</w:t>
            </w:r>
            <w:r w:rsidR="007F5B9C">
              <w:rPr>
                <w:rFonts w:eastAsia="Times New Roman" w:cs="Arial"/>
                <w:bCs/>
                <w:color w:val="000000"/>
                <w:lang w:eastAsia="fr-FR"/>
              </w:rPr>
              <w:t xml:space="preserve"> d’une infirmière au chevet d</w:t>
            </w:r>
            <w:r w:rsidR="00571C42">
              <w:rPr>
                <w:rFonts w:eastAsia="Times New Roman" w:cs="Arial"/>
                <w:bCs/>
                <w:color w:val="000000"/>
                <w:lang w:eastAsia="fr-FR"/>
              </w:rPr>
              <w:t>e l’usager</w:t>
            </w:r>
            <w:r w:rsidR="007F5B9C">
              <w:rPr>
                <w:rFonts w:eastAsia="Times New Roman" w:cs="Arial"/>
                <w:bCs/>
                <w:color w:val="000000"/>
                <w:lang w:eastAsia="fr-FR"/>
              </w:rPr>
              <w:t xml:space="preserve"> et présence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 médicale sur l’unité de soins pour toute la durée du protocole de désensibilisation.</w:t>
            </w:r>
          </w:p>
          <w:p w14:paraId="1D98E044" w14:textId="4BA82641" w:rsidR="009C0186" w:rsidRDefault="009C0186" w:rsidP="00571C42">
            <w:pPr>
              <w:widowControl w:val="0"/>
              <w:numPr>
                <w:ilvl w:val="0"/>
                <w:numId w:val="6"/>
              </w:numPr>
              <w:ind w:left="426" w:hanging="284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S’assure d’avoir au moins un accès veineux </w:t>
            </w:r>
          </w:p>
          <w:p w14:paraId="3A77941D" w14:textId="78BC0904" w:rsidR="00AE4C39" w:rsidRPr="00571C42" w:rsidRDefault="00EB379B" w:rsidP="00571C42">
            <w:pPr>
              <w:widowControl w:val="0"/>
              <w:numPr>
                <w:ilvl w:val="0"/>
                <w:numId w:val="6"/>
              </w:numPr>
              <w:ind w:left="426" w:hanging="284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 w:rsidRPr="00EB379B">
              <w:rPr>
                <w:rFonts w:eastAsia="Times New Roman" w:cs="Arial"/>
                <w:noProof/>
                <w:snapToGrid w:val="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C43FCFE" wp14:editId="14A38F9B">
                      <wp:simplePos x="0" y="0"/>
                      <wp:positionH relativeFrom="column">
                        <wp:posOffset>-399516</wp:posOffset>
                      </wp:positionH>
                      <wp:positionV relativeFrom="paragraph">
                        <wp:posOffset>2540</wp:posOffset>
                      </wp:positionV>
                      <wp:extent cx="2374265" cy="1403985"/>
                      <wp:effectExtent l="0" t="0" r="8255" b="381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15192" w14:textId="29482C5E" w:rsidR="00EB379B" w:rsidRDefault="00EB379B">
                                  <w:r>
                                    <w:t>OPI-PH-001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31.45pt;margin-top:.2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" stroked="f">
                      <v:textbox style="layout-flow:vertical;mso-layout-flow-alt:bottom-to-top;mso-fit-shape-to-text:t">
                        <w:txbxContent>
                          <w:p w14:paraId="65B15192" w14:textId="29482C5E" w:rsidR="00EB379B" w:rsidRDefault="00EB379B">
                            <w:r>
                              <w:t>OPI-PH-001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39">
              <w:rPr>
                <w:rFonts w:eastAsia="Times New Roman" w:cs="Arial"/>
                <w:bCs/>
                <w:color w:val="000000"/>
                <w:lang w:eastAsia="fr-FR"/>
              </w:rPr>
              <w:t>Disponibilité des médicaments nécessaires à la prise en charge des réactions allergiques.</w:t>
            </w:r>
          </w:p>
          <w:p w14:paraId="182766FC" w14:textId="7E5498EC" w:rsidR="00AE4C39" w:rsidRPr="004803DF" w:rsidRDefault="00AE4C39" w:rsidP="004803DF">
            <w:pPr>
              <w:widowControl w:val="0"/>
              <w:spacing w:before="240"/>
              <w:jc w:val="left"/>
              <w:rPr>
                <w:rFonts w:eastAsia="Times New Roman" w:cs="Arial"/>
                <w:b/>
                <w:snapToGrid w:val="0"/>
                <w:szCs w:val="22"/>
                <w:u w:val="single"/>
                <w:lang w:eastAsia="fr-FR"/>
              </w:rPr>
            </w:pPr>
            <w:r w:rsidRPr="004803DF">
              <w:rPr>
                <w:rFonts w:eastAsia="Times New Roman" w:cs="Arial"/>
                <w:b/>
                <w:iCs/>
                <w:snapToGrid w:val="0"/>
                <w:szCs w:val="22"/>
                <w:u w:val="single"/>
                <w:lang w:eastAsia="fr-FR"/>
              </w:rPr>
              <w:t>Cocher les médicaments à cesser avant le début du protocole de désensibilisation</w:t>
            </w:r>
            <w:r w:rsidRPr="004803DF">
              <w:rPr>
                <w:rFonts w:eastAsia="Times New Roman" w:cs="Arial"/>
                <w:b/>
                <w:snapToGrid w:val="0"/>
                <w:szCs w:val="22"/>
                <w:u w:val="single"/>
                <w:lang w:eastAsia="fr-FR"/>
              </w:rPr>
              <w:t xml:space="preserve"> </w:t>
            </w:r>
          </w:p>
          <w:p w14:paraId="21108B71" w14:textId="0E7BA12E" w:rsidR="00AE4C39" w:rsidRPr="00571C42" w:rsidRDefault="00AE4C39" w:rsidP="00571C42">
            <w:pPr>
              <w:widowControl w:val="0"/>
              <w:spacing w:before="120" w:after="60"/>
              <w:jc w:val="left"/>
              <w:rPr>
                <w:rFonts w:eastAsia="Times New Roman" w:cs="Arial"/>
                <w:snapToGrid w:val="0"/>
                <w:lang w:eastAsia="fr-FR"/>
              </w:rPr>
            </w:pPr>
            <w:r>
              <w:rPr>
                <w:rFonts w:eastAsia="Times New Roman" w:cs="Arial"/>
                <w:snapToGrid w:val="0"/>
                <w:lang w:eastAsia="fr-FR"/>
              </w:rPr>
              <w:t>Ne pas donner les doses prévues la veille et jusqu’à la fin du</w:t>
            </w:r>
            <w:r w:rsidR="00571C42">
              <w:rPr>
                <w:rFonts w:eastAsia="Times New Roman" w:cs="Arial"/>
                <w:snapToGrid w:val="0"/>
                <w:lang w:eastAsia="fr-FR"/>
              </w:rPr>
              <w:t xml:space="preserve"> protocole de désensibilisation</w:t>
            </w:r>
          </w:p>
          <w:p w14:paraId="12C226C6" w14:textId="6A50CC7E" w:rsidR="00AE4C39" w:rsidRDefault="00AE4C39" w:rsidP="00EB379B">
            <w:pPr>
              <w:widowControl w:val="0"/>
              <w:spacing w:before="12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bCs/>
                <w:color w:val="00000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rPr>
                <w:rFonts w:eastAsia="Times New Roman" w:cs="Arial"/>
                <w:bCs/>
                <w:color w:val="00000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bCs/>
                <w:color w:val="000000"/>
                <w:lang w:eastAsia="fr-FR"/>
              </w:rPr>
            </w:r>
            <w:r w:rsidR="006A4CB4">
              <w:rPr>
                <w:rFonts w:eastAsia="Times New Roman" w:cs="Arial"/>
                <w:bCs/>
                <w:color w:val="000000"/>
                <w:lang w:eastAsia="fr-FR"/>
              </w:rPr>
              <w:fldChar w:fldCharType="separate"/>
            </w:r>
            <w:r>
              <w:fldChar w:fldCharType="end"/>
            </w:r>
            <w:bookmarkEnd w:id="3"/>
            <w:r w:rsidR="00560FF0">
              <w:rPr>
                <w:rFonts w:eastAsia="Times New Roman" w:cs="Arial"/>
                <w:bCs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Bêta bloquant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  <w:t xml:space="preserve">(spécifiez la molécule </w:t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)</w:t>
            </w:r>
          </w:p>
          <w:p w14:paraId="3D5640AA" w14:textId="45905EA3" w:rsidR="00AE4C39" w:rsidRDefault="00AE4C39" w:rsidP="00EB379B">
            <w:pPr>
              <w:widowControl w:val="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snapToGrid w:val="0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rPr>
                <w:rFonts w:eastAsia="Times New Roman" w:cs="Arial"/>
                <w:snapToGrid w:val="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snapToGrid w:val="0"/>
                <w:lang w:eastAsia="fr-FR"/>
              </w:rPr>
            </w:r>
            <w:r w:rsidR="006A4CB4">
              <w:rPr>
                <w:rFonts w:eastAsia="Times New Roman" w:cs="Arial"/>
                <w:snapToGrid w:val="0"/>
                <w:lang w:eastAsia="fr-FR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eastAsia="Times New Roman" w:cs="Arial"/>
                <w:snapToGrid w:val="0"/>
                <w:lang w:eastAsia="fr-FR"/>
              </w:rPr>
              <w:t xml:space="preserve"> Corticostéroïde oral ou parentéral</w:t>
            </w:r>
            <w:r w:rsidR="00EB379B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 w:rsidR="00560FF0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(spécifiez la molécule </w:t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)</w:t>
            </w:r>
          </w:p>
          <w:p w14:paraId="30FB7F38" w14:textId="4E8B66E9" w:rsidR="00AE4C39" w:rsidRDefault="00AE4C39" w:rsidP="00EB379B">
            <w:pPr>
              <w:widowControl w:val="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snapToGrid w:val="0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>
              <w:rPr>
                <w:rFonts w:eastAsia="Times New Roman" w:cs="Arial"/>
                <w:snapToGrid w:val="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snapToGrid w:val="0"/>
                <w:lang w:eastAsia="fr-FR"/>
              </w:rPr>
            </w:r>
            <w:r w:rsidR="006A4CB4">
              <w:rPr>
                <w:rFonts w:eastAsia="Times New Roman" w:cs="Arial"/>
                <w:snapToGrid w:val="0"/>
                <w:lang w:eastAsia="fr-FR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eastAsia="Times New Roman" w:cs="Arial"/>
                <w:snapToGrid w:val="0"/>
                <w:lang w:eastAsia="fr-FR"/>
              </w:rPr>
              <w:t xml:space="preserve"> Antihistaminique</w:t>
            </w:r>
            <w:r w:rsidR="00EB379B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 w:rsidR="00EB379B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 w:rsidR="00EB379B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 w:rsidR="00560FF0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(spécifiez la molécule </w:t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)</w:t>
            </w:r>
          </w:p>
          <w:p w14:paraId="78A9E2BD" w14:textId="7C64C134" w:rsidR="004A1B63" w:rsidRDefault="004A1B63" w:rsidP="00EB379B">
            <w:pPr>
              <w:widowControl w:val="0"/>
              <w:ind w:left="426"/>
              <w:jc w:val="left"/>
              <w:rPr>
                <w:rFonts w:eastAsia="Times New Roman" w:cs="Arial"/>
                <w:bCs/>
                <w:color w:val="000000"/>
                <w:lang w:eastAsia="fr-FR"/>
              </w:rPr>
            </w:pPr>
            <w:r>
              <w:rPr>
                <w:rFonts w:eastAsia="Times New Roman" w:cs="Arial"/>
                <w:snapToGrid w:val="0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napToGrid w:val="0"/>
                <w:lang w:eastAsia="fr-FR"/>
              </w:rPr>
              <w:instrText xml:space="preserve"> FORMCHECKBOX </w:instrText>
            </w:r>
            <w:r w:rsidR="006A4CB4">
              <w:rPr>
                <w:rFonts w:eastAsia="Times New Roman" w:cs="Arial"/>
                <w:snapToGrid w:val="0"/>
                <w:lang w:eastAsia="fr-FR"/>
              </w:rPr>
            </w:r>
            <w:r w:rsidR="006A4CB4">
              <w:rPr>
                <w:rFonts w:eastAsia="Times New Roman" w:cs="Arial"/>
                <w:snapToGrid w:val="0"/>
                <w:lang w:eastAsia="fr-FR"/>
              </w:rPr>
              <w:fldChar w:fldCharType="separate"/>
            </w:r>
            <w:r>
              <w:fldChar w:fldCharType="end"/>
            </w:r>
            <w:r>
              <w:rPr>
                <w:rFonts w:eastAsia="Times New Roman" w:cs="Arial"/>
                <w:snapToGrid w:val="0"/>
                <w:lang w:eastAsia="fr-FR"/>
              </w:rPr>
              <w:t xml:space="preserve"> Anti</w:t>
            </w:r>
            <w:r w:rsidR="00BE3099">
              <w:rPr>
                <w:rFonts w:eastAsia="Times New Roman" w:cs="Arial"/>
                <w:snapToGrid w:val="0"/>
                <w:lang w:eastAsia="fr-FR"/>
              </w:rPr>
              <w:t>-</w:t>
            </w:r>
            <w:r>
              <w:rPr>
                <w:rFonts w:eastAsia="Times New Roman" w:cs="Arial"/>
                <w:snapToGrid w:val="0"/>
                <w:lang w:eastAsia="fr-FR"/>
              </w:rPr>
              <w:t xml:space="preserve">leucotriène </w:t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 w:rsidR="00560FF0">
              <w:rPr>
                <w:rFonts w:eastAsia="Times New Roman" w:cs="Arial"/>
                <w:bCs/>
                <w:color w:val="000000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 xml:space="preserve">(spécifiez la molécule </w:t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u w:val="single"/>
                <w:lang w:eastAsia="fr-FR"/>
              </w:rPr>
              <w:tab/>
            </w:r>
            <w:r>
              <w:rPr>
                <w:rFonts w:eastAsia="Times New Roman" w:cs="Arial"/>
                <w:bCs/>
                <w:color w:val="000000"/>
                <w:lang w:eastAsia="fr-FR"/>
              </w:rPr>
              <w:t>)</w:t>
            </w:r>
          </w:p>
          <w:p w14:paraId="34FEDF19" w14:textId="484BBD53" w:rsidR="00AE4C39" w:rsidRPr="004803DF" w:rsidRDefault="00AE4C39" w:rsidP="004803DF">
            <w:pPr>
              <w:widowControl w:val="0"/>
              <w:spacing w:before="240" w:after="60"/>
              <w:jc w:val="left"/>
              <w:rPr>
                <w:rFonts w:eastAsia="Times New Roman" w:cs="Arial"/>
                <w:b/>
                <w:snapToGrid w:val="0"/>
                <w:szCs w:val="22"/>
                <w:lang w:eastAsia="fr-FR"/>
              </w:rPr>
            </w:pPr>
            <w:r w:rsidRPr="004803DF">
              <w:rPr>
                <w:rFonts w:eastAsia="Times New Roman" w:cs="Arial"/>
                <w:b/>
                <w:snapToGrid w:val="0"/>
                <w:szCs w:val="22"/>
                <w:u w:val="single"/>
                <w:lang w:eastAsia="fr-FR"/>
              </w:rPr>
              <w:t>Désensibilisation</w:t>
            </w:r>
          </w:p>
          <w:p w14:paraId="30C1982D" w14:textId="77777777" w:rsidR="00AE4C39" w:rsidRPr="00B010F7" w:rsidRDefault="00AE4C39" w:rsidP="00571C42">
            <w:pPr>
              <w:widowControl w:val="0"/>
              <w:spacing w:before="120" w:after="60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B010F7">
              <w:rPr>
                <w:rFonts w:eastAsia="Times New Roman" w:cs="Arial"/>
                <w:snapToGrid w:val="0"/>
                <w:lang w:eastAsia="fr-FR"/>
              </w:rPr>
              <w:t>Préparation de la solution :</w:t>
            </w:r>
          </w:p>
          <w:p w14:paraId="0DF7C4E0" w14:textId="246B7D0F" w:rsidR="00AE4C39" w:rsidRPr="007429CE" w:rsidRDefault="00AE4C39" w:rsidP="00571C42">
            <w:pPr>
              <w:pStyle w:val="Paragraphedeliste"/>
              <w:widowControl w:val="0"/>
              <w:numPr>
                <w:ilvl w:val="0"/>
                <w:numId w:val="12"/>
              </w:numPr>
              <w:spacing w:before="120" w:after="40"/>
              <w:ind w:left="426" w:hanging="284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7429CE">
              <w:rPr>
                <w:rFonts w:eastAsia="Times New Roman" w:cs="Arial"/>
                <w:snapToGrid w:val="0"/>
                <w:lang w:eastAsia="fr-FR"/>
              </w:rPr>
              <w:t xml:space="preserve">La dissolution sera effectuée par le </w:t>
            </w:r>
            <w:r w:rsidR="009C0186">
              <w:rPr>
                <w:rFonts w:eastAsia="Times New Roman" w:cs="Arial"/>
                <w:snapToGrid w:val="0"/>
                <w:lang w:eastAsia="fr-FR"/>
              </w:rPr>
              <w:t>département</w:t>
            </w:r>
            <w:r w:rsidRPr="007429CE">
              <w:rPr>
                <w:rFonts w:eastAsia="Times New Roman" w:cs="Arial"/>
                <w:snapToGrid w:val="0"/>
                <w:lang w:eastAsia="fr-FR"/>
              </w:rPr>
              <w:t xml:space="preserve"> de</w:t>
            </w:r>
            <w:r w:rsidR="009C0186">
              <w:rPr>
                <w:rFonts w:eastAsia="Times New Roman" w:cs="Arial"/>
                <w:snapToGrid w:val="0"/>
                <w:lang w:eastAsia="fr-FR"/>
              </w:rPr>
              <w:t xml:space="preserve"> la</w:t>
            </w:r>
            <w:r w:rsidRPr="007429CE">
              <w:rPr>
                <w:rFonts w:eastAsia="Times New Roman" w:cs="Arial"/>
                <w:snapToGrid w:val="0"/>
                <w:lang w:eastAsia="fr-FR"/>
              </w:rPr>
              <w:t xml:space="preserve"> pharmacie.</w:t>
            </w:r>
          </w:p>
          <w:p w14:paraId="754886A2" w14:textId="1A5F131A" w:rsidR="00AE4C39" w:rsidRPr="007429CE" w:rsidRDefault="00EC172C" w:rsidP="00571C42">
            <w:pPr>
              <w:pStyle w:val="Paragraphedeliste"/>
              <w:widowControl w:val="0"/>
              <w:numPr>
                <w:ilvl w:val="0"/>
                <w:numId w:val="12"/>
              </w:numPr>
              <w:spacing w:before="40" w:after="40"/>
              <w:ind w:left="426" w:hanging="284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7429CE">
              <w:rPr>
                <w:rFonts w:eastAsia="Times New Roman" w:cs="Arial"/>
                <w:snapToGrid w:val="0"/>
                <w:lang w:eastAsia="fr-FR"/>
              </w:rPr>
              <w:t>Écraser</w:t>
            </w:r>
            <w:r w:rsidR="00B010F7" w:rsidRPr="007429CE">
              <w:rPr>
                <w:rFonts w:eastAsia="Times New Roman" w:cs="Arial"/>
                <w:snapToGrid w:val="0"/>
                <w:lang w:eastAsia="fr-FR"/>
              </w:rPr>
              <w:t xml:space="preserve"> </w:t>
            </w:r>
            <w:r w:rsidR="007E1165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>1</w:t>
            </w:r>
            <w:r w:rsidR="00B010F7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</w:t>
            </w:r>
            <w:r w:rsidR="00AE4C39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>comprimé</w:t>
            </w:r>
            <w:r w:rsidR="007E1165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d’acide acétylsalicylique (ASA) 325 mg</w:t>
            </w:r>
            <w:r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et diluer</w:t>
            </w:r>
            <w:r w:rsidR="007E1165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dans 162.5</w:t>
            </w:r>
            <w:r w:rsidR="00B010F7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</w:t>
            </w:r>
            <w:proofErr w:type="spellStart"/>
            <w:r w:rsidR="00AE4C39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>mL</w:t>
            </w:r>
            <w:proofErr w:type="spellEnd"/>
            <w:r w:rsidR="00AE4C39" w:rsidRPr="007E1165">
              <w:rPr>
                <w:rFonts w:eastAsia="Times New Roman" w:cs="Arial"/>
                <w:snapToGrid w:val="0"/>
                <w:highlight w:val="yellow"/>
                <w:u w:val="single"/>
                <w:lang w:eastAsia="fr-FR"/>
              </w:rPr>
              <w:t xml:space="preserve"> d’eau stérile</w:t>
            </w:r>
            <w:r w:rsidR="00AE4C39" w:rsidRPr="00605522">
              <w:rPr>
                <w:rFonts w:eastAsia="Times New Roman" w:cs="Arial"/>
                <w:snapToGrid w:val="0"/>
                <w:u w:val="single"/>
                <w:lang w:eastAsia="fr-FR"/>
              </w:rPr>
              <w:t xml:space="preserve"> po</w:t>
            </w:r>
            <w:r w:rsidR="00B010F7" w:rsidRPr="00605522">
              <w:rPr>
                <w:rFonts w:eastAsia="Times New Roman" w:cs="Arial"/>
                <w:snapToGrid w:val="0"/>
                <w:u w:val="single"/>
                <w:lang w:eastAsia="fr-FR"/>
              </w:rPr>
              <w:t xml:space="preserve">ur une concentration finale de </w:t>
            </w:r>
            <w:r w:rsidR="00B010F7" w:rsidRPr="00605522">
              <w:rPr>
                <w:rFonts w:eastAsia="Times New Roman" w:cs="Arial"/>
                <w:b/>
                <w:snapToGrid w:val="0"/>
                <w:lang w:eastAsia="fr-FR"/>
              </w:rPr>
              <w:t xml:space="preserve">2 </w:t>
            </w:r>
            <w:r w:rsidR="00AE4C39" w:rsidRPr="00605522">
              <w:rPr>
                <w:rFonts w:eastAsia="Times New Roman" w:cs="Arial"/>
                <w:b/>
                <w:snapToGrid w:val="0"/>
                <w:lang w:eastAsia="fr-FR"/>
              </w:rPr>
              <w:t>mg/</w:t>
            </w:r>
            <w:proofErr w:type="spellStart"/>
            <w:r w:rsidR="00AE4C39" w:rsidRPr="00605522">
              <w:rPr>
                <w:rFonts w:eastAsia="Times New Roman" w:cs="Arial"/>
                <w:b/>
                <w:snapToGrid w:val="0"/>
                <w:lang w:eastAsia="fr-FR"/>
              </w:rPr>
              <w:t>mL</w:t>
            </w:r>
            <w:proofErr w:type="spellEnd"/>
            <w:r w:rsidR="00AE4C39" w:rsidRPr="007429CE">
              <w:rPr>
                <w:rFonts w:eastAsia="Times New Roman" w:cs="Arial"/>
                <w:snapToGrid w:val="0"/>
                <w:lang w:eastAsia="fr-FR"/>
              </w:rPr>
              <w:t xml:space="preserve">. </w:t>
            </w:r>
          </w:p>
          <w:p w14:paraId="7A61FD11" w14:textId="54F7CE5D" w:rsidR="00AE4C39" w:rsidRPr="007429CE" w:rsidRDefault="00AE4C39" w:rsidP="00571C42">
            <w:pPr>
              <w:pStyle w:val="Paragraphedeliste"/>
              <w:widowControl w:val="0"/>
              <w:numPr>
                <w:ilvl w:val="0"/>
                <w:numId w:val="12"/>
              </w:numPr>
              <w:spacing w:before="40" w:after="40"/>
              <w:ind w:left="426" w:hanging="284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7429CE">
              <w:rPr>
                <w:rFonts w:eastAsia="Times New Roman" w:cs="Arial"/>
                <w:snapToGrid w:val="0"/>
                <w:lang w:eastAsia="fr-FR"/>
              </w:rPr>
              <w:t>Brasser la solution jusqu’à la dissolution complète et l’obtention d’une solution limpide (de 2 à 3 min</w:t>
            </w:r>
            <w:r w:rsidR="00560FF0">
              <w:rPr>
                <w:rFonts w:eastAsia="Times New Roman" w:cs="Arial"/>
                <w:snapToGrid w:val="0"/>
                <w:lang w:eastAsia="fr-FR"/>
              </w:rPr>
              <w:t>utes</w:t>
            </w:r>
            <w:r w:rsidRPr="007429CE">
              <w:rPr>
                <w:rFonts w:eastAsia="Times New Roman" w:cs="Arial"/>
                <w:snapToGrid w:val="0"/>
                <w:lang w:eastAsia="fr-FR"/>
              </w:rPr>
              <w:t>).</w:t>
            </w:r>
          </w:p>
          <w:p w14:paraId="51FE4300" w14:textId="7B5833F4" w:rsidR="00EE40A9" w:rsidRDefault="00A949B4" w:rsidP="00571C42">
            <w:pPr>
              <w:pStyle w:val="Paragraphedeliste"/>
              <w:widowControl w:val="0"/>
              <w:numPr>
                <w:ilvl w:val="0"/>
                <w:numId w:val="12"/>
              </w:numPr>
              <w:spacing w:before="40" w:after="40"/>
              <w:ind w:left="426" w:hanging="284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7429CE">
              <w:rPr>
                <w:rFonts w:eastAsia="Times New Roman" w:cs="Arial"/>
                <w:snapToGrid w:val="0"/>
                <w:lang w:eastAsia="fr-FR"/>
              </w:rPr>
              <w:t>Préparation extemporanée à usage immédiat, il faut réaliser la suspension le matin même de la procédure et jeter la portion inutilisée à la fin de la procédure.</w:t>
            </w:r>
          </w:p>
          <w:p w14:paraId="44462448" w14:textId="77777777" w:rsidR="00571C42" w:rsidRDefault="00571C42" w:rsidP="00571C42">
            <w:pPr>
              <w:pStyle w:val="Paragraphedeliste"/>
              <w:widowControl w:val="0"/>
              <w:spacing w:before="40" w:after="40"/>
              <w:ind w:left="426"/>
              <w:jc w:val="left"/>
              <w:rPr>
                <w:rFonts w:eastAsia="Times New Roman" w:cs="Arial"/>
                <w:snapToGrid w:val="0"/>
                <w:lang w:eastAsia="fr-FR"/>
              </w:rPr>
            </w:pPr>
          </w:p>
          <w:p w14:paraId="713020FF" w14:textId="77777777" w:rsidR="00EB379B" w:rsidRDefault="00EB379B" w:rsidP="00571C42">
            <w:pPr>
              <w:pStyle w:val="Paragraphedeliste"/>
              <w:widowControl w:val="0"/>
              <w:spacing w:before="40" w:after="40"/>
              <w:ind w:left="426"/>
              <w:jc w:val="left"/>
              <w:rPr>
                <w:rFonts w:eastAsia="Times New Roman" w:cs="Arial"/>
                <w:snapToGrid w:val="0"/>
                <w:lang w:eastAsia="fr-FR"/>
              </w:rPr>
            </w:pPr>
          </w:p>
          <w:p w14:paraId="5E6EC036" w14:textId="77777777" w:rsidR="00EB379B" w:rsidRDefault="00EB379B" w:rsidP="00571C42">
            <w:pPr>
              <w:pStyle w:val="Paragraphedeliste"/>
              <w:widowControl w:val="0"/>
              <w:spacing w:before="40" w:after="40"/>
              <w:ind w:left="426"/>
              <w:jc w:val="left"/>
              <w:rPr>
                <w:rFonts w:eastAsia="Times New Roman" w:cs="Arial"/>
                <w:snapToGrid w:val="0"/>
                <w:lang w:eastAsia="fr-FR"/>
              </w:rPr>
            </w:pPr>
          </w:p>
          <w:p w14:paraId="084E43F3" w14:textId="5C137897" w:rsidR="00AE4C39" w:rsidRPr="00EE40A9" w:rsidRDefault="00AE4C39" w:rsidP="00560FF0">
            <w:pPr>
              <w:widowControl w:val="0"/>
              <w:spacing w:before="120" w:after="60"/>
              <w:jc w:val="left"/>
              <w:rPr>
                <w:rFonts w:eastAsia="Times New Roman" w:cs="Arial"/>
                <w:snapToGrid w:val="0"/>
                <w:lang w:eastAsia="fr-FR"/>
              </w:rPr>
            </w:pPr>
            <w:r w:rsidRPr="00EE40A9">
              <w:rPr>
                <w:rFonts w:eastAsia="Times New Roman" w:cs="Arial"/>
                <w:b/>
                <w:snapToGrid w:val="0"/>
                <w:lang w:eastAsia="fr-FR"/>
              </w:rPr>
              <w:lastRenderedPageBreak/>
              <w:t xml:space="preserve">Spécifier la dose finale désirée : </w:t>
            </w:r>
            <w:r w:rsidRPr="00EE40A9">
              <w:rPr>
                <w:rFonts w:eastAsia="Times New Roman" w:cs="Arial"/>
                <w:b/>
                <w:snapToGrid w:val="0"/>
                <w:lang w:eastAsia="fr-FR"/>
              </w:rPr>
              <w:tab/>
            </w:r>
            <w:r w:rsidR="00571C42">
              <w:rPr>
                <w:rFonts w:eastAsia="Times New Roman" w:cs="Arial"/>
                <w:b/>
                <w:snapToGrid w:val="0"/>
                <w:u w:val="single"/>
                <w:lang w:eastAsia="fr-FR"/>
              </w:rPr>
              <w:tab/>
            </w:r>
            <w:r w:rsidRPr="00EE40A9">
              <w:rPr>
                <w:rFonts w:eastAsia="Times New Roman" w:cs="Arial"/>
                <w:b/>
                <w:snapToGrid w:val="0"/>
                <w:lang w:eastAsia="fr-FR"/>
              </w:rPr>
              <w:t xml:space="preserve"> mg</w:t>
            </w:r>
          </w:p>
          <w:p w14:paraId="1301C1B7" w14:textId="2A66C952" w:rsidR="00AE4C39" w:rsidRPr="007429CE" w:rsidRDefault="00AE4C39" w:rsidP="00907A97">
            <w:pPr>
              <w:widowControl w:val="0"/>
              <w:spacing w:before="60" w:after="60"/>
              <w:jc w:val="left"/>
              <w:rPr>
                <w:rFonts w:eastAsia="Times New Roman" w:cs="Arial"/>
                <w:b/>
                <w:snapToGrid w:val="0"/>
                <w:lang w:eastAsia="fr-FR"/>
              </w:rPr>
            </w:pPr>
            <w:r>
              <w:rPr>
                <w:rFonts w:eastAsia="Times New Roman" w:cs="Arial"/>
                <w:b/>
                <w:snapToGrid w:val="0"/>
                <w:lang w:eastAsia="fr-FR"/>
              </w:rPr>
              <w:t xml:space="preserve">Les doses supérieures à la dose finale désirée n’ont pas à être administrées </w:t>
            </w:r>
            <w:r w:rsidR="00571C42">
              <w:rPr>
                <w:rFonts w:eastAsia="Times New Roman" w:cs="Arial"/>
                <w:b/>
                <w:snapToGrid w:val="0"/>
                <w:lang w:eastAsia="fr-FR"/>
              </w:rPr>
              <w:t>à l’usager</w:t>
            </w:r>
            <w:r>
              <w:rPr>
                <w:rFonts w:eastAsia="Times New Roman" w:cs="Arial"/>
                <w:b/>
                <w:snapToGrid w:val="0"/>
                <w:lang w:eastAsia="fr-FR"/>
              </w:rPr>
              <w:t>.</w:t>
            </w:r>
          </w:p>
          <w:p w14:paraId="45714A4B" w14:textId="1A0E85F8" w:rsidR="00AE4C39" w:rsidRDefault="00AE4C39" w:rsidP="00F56984">
            <w:pPr>
              <w:widowControl w:val="0"/>
              <w:spacing w:after="120"/>
              <w:rPr>
                <w:rFonts w:eastAsia="Times New Roman" w:cs="Arial"/>
                <w:snapToGrid w:val="0"/>
                <w:lang w:eastAsia="fr-FR"/>
              </w:rPr>
            </w:pPr>
            <w:r>
              <w:rPr>
                <w:rFonts w:eastAsia="Times New Roman" w:cs="Arial"/>
                <w:snapToGrid w:val="0"/>
                <w:lang w:eastAsia="fr-FR"/>
              </w:rPr>
              <w:t>À intervalle de 20 minutes, administrer par voie orale 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885"/>
              <w:gridCol w:w="6381"/>
            </w:tblGrid>
            <w:tr w:rsidR="00965F5D" w14:paraId="0A054CC8" w14:textId="77777777" w:rsidTr="00965F5D">
              <w:tc>
                <w:tcPr>
                  <w:tcW w:w="885" w:type="dxa"/>
                  <w:vAlign w:val="center"/>
                </w:tcPr>
                <w:p w14:paraId="73156E8C" w14:textId="6776C4B3" w:rsidR="00965F5D" w:rsidRP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</w:pPr>
                  <w:r w:rsidRPr="00965F5D"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  <w:t>Étape</w:t>
                  </w:r>
                </w:p>
              </w:tc>
              <w:tc>
                <w:tcPr>
                  <w:tcW w:w="885" w:type="dxa"/>
                </w:tcPr>
                <w:p w14:paraId="183EF21D" w14:textId="6DC160E0" w:rsidR="00965F5D" w:rsidRPr="00965F5D" w:rsidRDefault="00965F5D" w:rsidP="00AE4C39">
                  <w:pPr>
                    <w:widowControl w:val="0"/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</w:pPr>
                  <w:r w:rsidRPr="00965F5D"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  <w:t>Dose</w:t>
                  </w:r>
                </w:p>
              </w:tc>
              <w:tc>
                <w:tcPr>
                  <w:tcW w:w="6381" w:type="dxa"/>
                </w:tcPr>
                <w:p w14:paraId="41DB02C0" w14:textId="27BA1D95" w:rsidR="00965F5D" w:rsidRPr="00965F5D" w:rsidRDefault="00965F5D" w:rsidP="00AE4C39">
                  <w:pPr>
                    <w:widowControl w:val="0"/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</w:pPr>
                  <w:r w:rsidRPr="00965F5D"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  <w:t>Quantité à administrer</w:t>
                  </w:r>
                </w:p>
              </w:tc>
            </w:tr>
            <w:tr w:rsidR="00965F5D" w14:paraId="5D922C27" w14:textId="77777777" w:rsidTr="00965F5D">
              <w:tc>
                <w:tcPr>
                  <w:tcW w:w="885" w:type="dxa"/>
                  <w:vAlign w:val="center"/>
                </w:tcPr>
                <w:p w14:paraId="7394585E" w14:textId="5264F9E4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1</w:t>
                  </w:r>
                </w:p>
              </w:tc>
              <w:tc>
                <w:tcPr>
                  <w:tcW w:w="885" w:type="dxa"/>
                </w:tcPr>
                <w:p w14:paraId="140EC128" w14:textId="1E266C17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1 mg</w:t>
                  </w:r>
                </w:p>
              </w:tc>
              <w:tc>
                <w:tcPr>
                  <w:tcW w:w="6381" w:type="dxa"/>
                </w:tcPr>
                <w:p w14:paraId="1514E497" w14:textId="6188D4EF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0,5 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 de suspension orale à 2 mg/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</w:p>
              </w:tc>
            </w:tr>
            <w:tr w:rsidR="00965F5D" w14:paraId="3BCD679A" w14:textId="77777777" w:rsidTr="00965F5D">
              <w:tc>
                <w:tcPr>
                  <w:tcW w:w="885" w:type="dxa"/>
                  <w:vAlign w:val="center"/>
                </w:tcPr>
                <w:p w14:paraId="33EE9022" w14:textId="06D38B21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2</w:t>
                  </w:r>
                </w:p>
              </w:tc>
              <w:tc>
                <w:tcPr>
                  <w:tcW w:w="885" w:type="dxa"/>
                </w:tcPr>
                <w:p w14:paraId="4BB4AFF4" w14:textId="1D0EFEB1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5 mg</w:t>
                  </w:r>
                </w:p>
              </w:tc>
              <w:tc>
                <w:tcPr>
                  <w:tcW w:w="6381" w:type="dxa"/>
                </w:tcPr>
                <w:p w14:paraId="6DCF1109" w14:textId="4AF46CFF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2,5 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 de solution orale à 2 mg/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</w:p>
              </w:tc>
            </w:tr>
            <w:tr w:rsidR="00965F5D" w14:paraId="336FBA51" w14:textId="77777777" w:rsidTr="00965F5D">
              <w:tc>
                <w:tcPr>
                  <w:tcW w:w="885" w:type="dxa"/>
                  <w:vAlign w:val="center"/>
                </w:tcPr>
                <w:p w14:paraId="5FC7659D" w14:textId="7C8D28A8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3</w:t>
                  </w:r>
                </w:p>
              </w:tc>
              <w:tc>
                <w:tcPr>
                  <w:tcW w:w="885" w:type="dxa"/>
                </w:tcPr>
                <w:p w14:paraId="520C56FC" w14:textId="621C2CC2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10 mg</w:t>
                  </w:r>
                </w:p>
              </w:tc>
              <w:tc>
                <w:tcPr>
                  <w:tcW w:w="6381" w:type="dxa"/>
                </w:tcPr>
                <w:p w14:paraId="3E71EBCC" w14:textId="322E8D19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5 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 de solution orale à 2 mg/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</w:p>
              </w:tc>
            </w:tr>
            <w:tr w:rsidR="00965F5D" w14:paraId="7C057D54" w14:textId="77777777" w:rsidTr="00965F5D">
              <w:tc>
                <w:tcPr>
                  <w:tcW w:w="885" w:type="dxa"/>
                  <w:vAlign w:val="center"/>
                </w:tcPr>
                <w:p w14:paraId="6C76E32A" w14:textId="4E5DB3A9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4</w:t>
                  </w:r>
                </w:p>
              </w:tc>
              <w:tc>
                <w:tcPr>
                  <w:tcW w:w="885" w:type="dxa"/>
                </w:tcPr>
                <w:p w14:paraId="604B7AA8" w14:textId="7F9234A3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20 mg</w:t>
                  </w:r>
                </w:p>
              </w:tc>
              <w:tc>
                <w:tcPr>
                  <w:tcW w:w="6381" w:type="dxa"/>
                </w:tcPr>
                <w:p w14:paraId="4AAD78F0" w14:textId="4E003DAE" w:rsidR="00965F5D" w:rsidRDefault="00965F5D" w:rsidP="00F56984">
                  <w:pPr>
                    <w:widowControl w:val="0"/>
                    <w:tabs>
                      <w:tab w:val="left" w:pos="885"/>
                    </w:tabs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10 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 de solution orale à 2 mg/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</w:p>
              </w:tc>
            </w:tr>
            <w:tr w:rsidR="00965F5D" w14:paraId="5EE687A1" w14:textId="77777777" w:rsidTr="00965F5D">
              <w:tc>
                <w:tcPr>
                  <w:tcW w:w="885" w:type="dxa"/>
                  <w:vAlign w:val="center"/>
                </w:tcPr>
                <w:p w14:paraId="02EEA61E" w14:textId="7BC23355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5</w:t>
                  </w:r>
                </w:p>
              </w:tc>
              <w:tc>
                <w:tcPr>
                  <w:tcW w:w="885" w:type="dxa"/>
                </w:tcPr>
                <w:p w14:paraId="79A6002A" w14:textId="27F5B2CD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40 mg</w:t>
                  </w:r>
                </w:p>
              </w:tc>
              <w:tc>
                <w:tcPr>
                  <w:tcW w:w="6381" w:type="dxa"/>
                </w:tcPr>
                <w:p w14:paraId="706146D0" w14:textId="6A876A5F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20 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 de solution orale à 2 mg/</w:t>
                  </w:r>
                  <w:proofErr w:type="spellStart"/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mL</w:t>
                  </w:r>
                  <w:proofErr w:type="spellEnd"/>
                </w:p>
              </w:tc>
            </w:tr>
            <w:tr w:rsidR="00965F5D" w14:paraId="157DF541" w14:textId="77777777" w:rsidTr="00965F5D">
              <w:tc>
                <w:tcPr>
                  <w:tcW w:w="885" w:type="dxa"/>
                  <w:vAlign w:val="center"/>
                </w:tcPr>
                <w:p w14:paraId="6AA8CA8A" w14:textId="64383505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6</w:t>
                  </w:r>
                </w:p>
              </w:tc>
              <w:tc>
                <w:tcPr>
                  <w:tcW w:w="885" w:type="dxa"/>
                </w:tcPr>
                <w:p w14:paraId="4CEE253F" w14:textId="18679150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80 mg</w:t>
                  </w:r>
                </w:p>
              </w:tc>
              <w:tc>
                <w:tcPr>
                  <w:tcW w:w="6381" w:type="dxa"/>
                </w:tcPr>
                <w:p w14:paraId="6717C218" w14:textId="3E25B491" w:rsidR="00965F5D" w:rsidRDefault="00965F5D" w:rsidP="00907A97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1 comprimé d’aspirine non enrobée 80 mg à faire CROQUER </w:t>
                  </w:r>
                  <w:r w:rsidR="00907A97">
                    <w:rPr>
                      <w:rFonts w:eastAsia="Times New Roman" w:cs="Arial"/>
                      <w:snapToGrid w:val="0"/>
                      <w:lang w:eastAsia="fr-FR"/>
                    </w:rPr>
                    <w:t>à l’usager</w:t>
                  </w:r>
                </w:p>
              </w:tc>
            </w:tr>
            <w:tr w:rsidR="00965F5D" w14:paraId="05D8C58A" w14:textId="77777777" w:rsidTr="002A16B3">
              <w:tc>
                <w:tcPr>
                  <w:tcW w:w="8151" w:type="dxa"/>
                  <w:gridSpan w:val="3"/>
                  <w:vAlign w:val="center"/>
                </w:tcPr>
                <w:p w14:paraId="56D6B489" w14:textId="315CDA4D" w:rsidR="00965F5D" w:rsidRPr="00965F5D" w:rsidRDefault="00965F5D" w:rsidP="00AE4C39">
                  <w:pPr>
                    <w:widowControl w:val="0"/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</w:pPr>
                  <w:r w:rsidRPr="00965F5D">
                    <w:rPr>
                      <w:rFonts w:eastAsia="Times New Roman" w:cs="Arial"/>
                      <w:b/>
                      <w:snapToGrid w:val="0"/>
                      <w:lang w:eastAsia="fr-FR"/>
                    </w:rPr>
                    <w:t>Étape optionnelles</w:t>
                  </w:r>
                </w:p>
              </w:tc>
            </w:tr>
            <w:tr w:rsidR="00965F5D" w14:paraId="63FBB725" w14:textId="77777777" w:rsidTr="00965F5D">
              <w:tc>
                <w:tcPr>
                  <w:tcW w:w="885" w:type="dxa"/>
                  <w:vAlign w:val="center"/>
                </w:tcPr>
                <w:p w14:paraId="777F8CFB" w14:textId="5B56E572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7</w:t>
                  </w:r>
                </w:p>
              </w:tc>
              <w:tc>
                <w:tcPr>
                  <w:tcW w:w="885" w:type="dxa"/>
                </w:tcPr>
                <w:p w14:paraId="5633DA40" w14:textId="686F0398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160 mg</w:t>
                  </w:r>
                </w:p>
              </w:tc>
              <w:tc>
                <w:tcPr>
                  <w:tcW w:w="6381" w:type="dxa"/>
                </w:tcPr>
                <w:p w14:paraId="1E48A557" w14:textId="34A2102E" w:rsidR="00965F5D" w:rsidRDefault="00965F5D" w:rsidP="00F56984">
                  <w:pPr>
                    <w:widowControl w:val="0"/>
                    <w:tabs>
                      <w:tab w:val="left" w:pos="885"/>
                    </w:tabs>
                    <w:jc w:val="left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2 comprimés d’aspirine non enrobée 80 mg à faire CROQUER </w:t>
                  </w:r>
                  <w:r w:rsidR="00907A97">
                    <w:rPr>
                      <w:rFonts w:eastAsia="Times New Roman" w:cs="Arial"/>
                      <w:snapToGrid w:val="0"/>
                      <w:lang w:eastAsia="fr-FR"/>
                    </w:rPr>
                    <w:t>à l’usager</w:t>
                  </w:r>
                </w:p>
              </w:tc>
            </w:tr>
            <w:tr w:rsidR="00965F5D" w14:paraId="7B9F2DAE" w14:textId="77777777" w:rsidTr="00965F5D">
              <w:tc>
                <w:tcPr>
                  <w:tcW w:w="885" w:type="dxa"/>
                  <w:vAlign w:val="center"/>
                </w:tcPr>
                <w:p w14:paraId="78BE8E57" w14:textId="2FAD1E15" w:rsidR="00965F5D" w:rsidRDefault="00965F5D" w:rsidP="00965F5D">
                  <w:pPr>
                    <w:widowControl w:val="0"/>
                    <w:jc w:val="center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8</w:t>
                  </w:r>
                </w:p>
              </w:tc>
              <w:tc>
                <w:tcPr>
                  <w:tcW w:w="885" w:type="dxa"/>
                </w:tcPr>
                <w:p w14:paraId="1D35C2A9" w14:textId="73507ACF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>320 mg</w:t>
                  </w:r>
                </w:p>
              </w:tc>
              <w:tc>
                <w:tcPr>
                  <w:tcW w:w="6381" w:type="dxa"/>
                </w:tcPr>
                <w:p w14:paraId="32798990" w14:textId="45C4C919" w:rsidR="00965F5D" w:rsidRDefault="00965F5D" w:rsidP="00AE4C39">
                  <w:pPr>
                    <w:widowControl w:val="0"/>
                    <w:rPr>
                      <w:rFonts w:eastAsia="Times New Roman" w:cs="Arial"/>
                      <w:snapToGrid w:val="0"/>
                      <w:lang w:eastAsia="fr-FR"/>
                    </w:rPr>
                  </w:pPr>
                  <w:r>
                    <w:rPr>
                      <w:rFonts w:eastAsia="Times New Roman" w:cs="Arial"/>
                      <w:snapToGrid w:val="0"/>
                      <w:lang w:eastAsia="fr-FR"/>
                    </w:rPr>
                    <w:t xml:space="preserve">4 comprimés d’aspirine non enrobée 80 mg à faire CROQUER </w:t>
                  </w:r>
                  <w:r w:rsidR="00907A97">
                    <w:rPr>
                      <w:rFonts w:eastAsia="Times New Roman" w:cs="Arial"/>
                      <w:snapToGrid w:val="0"/>
                      <w:lang w:eastAsia="fr-FR"/>
                    </w:rPr>
                    <w:t>à l’usager</w:t>
                  </w:r>
                </w:p>
              </w:tc>
            </w:tr>
          </w:tbl>
          <w:p w14:paraId="5ECCC56A" w14:textId="6CA23B0C" w:rsidR="00AE4C39" w:rsidRDefault="00AE4C39" w:rsidP="00907A97">
            <w:pPr>
              <w:keepNext/>
              <w:tabs>
                <w:tab w:val="left" w:pos="4746"/>
              </w:tabs>
              <w:spacing w:before="12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 désensibilisation réuss</w:t>
            </w:r>
            <w:r w:rsidR="00907A97">
              <w:rPr>
                <w:rFonts w:cs="Arial"/>
                <w:b/>
              </w:rPr>
              <w:t xml:space="preserve">ie, débuter Aspirine EC </w:t>
            </w:r>
            <w:r w:rsidR="00907A97" w:rsidRPr="00907A97">
              <w:rPr>
                <w:rFonts w:cs="Arial"/>
                <w:b/>
                <w:u w:val="single"/>
              </w:rPr>
              <w:tab/>
            </w:r>
            <w:r>
              <w:rPr>
                <w:rFonts w:cs="Arial"/>
                <w:b/>
              </w:rPr>
              <w:t xml:space="preserve">mg PO die dès le lendemain de la désensibilisation. </w:t>
            </w:r>
          </w:p>
          <w:p w14:paraId="70BE6506" w14:textId="77777777" w:rsidR="00AE4C39" w:rsidRDefault="00AE4C39" w:rsidP="00AE4C39">
            <w:pPr>
              <w:keepNext/>
              <w:jc w:val="left"/>
              <w:rPr>
                <w:rFonts w:cs="Arial"/>
              </w:rPr>
            </w:pPr>
            <w:r>
              <w:rPr>
                <w:rFonts w:cs="Arial"/>
              </w:rPr>
              <w:t>Ne pas cesser l’aspirine plus de 48 heures pour le maintien de la désensibilisation.</w:t>
            </w:r>
          </w:p>
          <w:p w14:paraId="6BABB25A" w14:textId="45C7BDBB" w:rsidR="002B42D7" w:rsidRDefault="002B42D7" w:rsidP="00907A97">
            <w:pPr>
              <w:keepNext/>
              <w:widowControl w:val="0"/>
              <w:jc w:val="left"/>
              <w:rPr>
                <w:rFonts w:cs="Arial"/>
              </w:rPr>
            </w:pPr>
            <w:r w:rsidRPr="002B42D7">
              <w:rPr>
                <w:rFonts w:cs="Arial"/>
              </w:rPr>
              <w:t xml:space="preserve">Un </w:t>
            </w:r>
            <w:r w:rsidR="00907A97">
              <w:rPr>
                <w:rFonts w:cs="Arial"/>
              </w:rPr>
              <w:t>usager</w:t>
            </w:r>
            <w:r w:rsidRPr="002B42D7">
              <w:rPr>
                <w:rFonts w:cs="Arial"/>
              </w:rPr>
              <w:t xml:space="preserve"> désensibilisé avec succès à l’AAS ne peut pas prendre d’autres AINS en raison du risque d’allergie croisée.</w:t>
            </w:r>
          </w:p>
          <w:p w14:paraId="7786EFE4" w14:textId="4061AC5C" w:rsidR="00AE4C39" w:rsidRPr="004803DF" w:rsidRDefault="00AE4C39" w:rsidP="004803DF">
            <w:pPr>
              <w:keepNext/>
              <w:spacing w:before="120" w:after="40"/>
              <w:jc w:val="left"/>
              <w:rPr>
                <w:rFonts w:cs="Arial"/>
                <w:b/>
                <w:szCs w:val="22"/>
                <w:u w:val="single"/>
              </w:rPr>
            </w:pPr>
            <w:r w:rsidRPr="004803DF">
              <w:rPr>
                <w:rFonts w:cs="Arial"/>
                <w:b/>
                <w:szCs w:val="22"/>
                <w:u w:val="single"/>
              </w:rPr>
              <w:t>Surveillance et évaluation par l’infirmière</w:t>
            </w:r>
            <w:r w:rsidR="00907A97" w:rsidRPr="004803DF">
              <w:rPr>
                <w:rFonts w:cs="Arial"/>
                <w:b/>
                <w:szCs w:val="22"/>
              </w:rPr>
              <w:t> :</w:t>
            </w:r>
          </w:p>
          <w:p w14:paraId="0D54F509" w14:textId="7E1E1451" w:rsidR="00FC5C81" w:rsidRDefault="00FC5C81" w:rsidP="00DE623B">
            <w:pPr>
              <w:pStyle w:val="Paragraphedeliste"/>
              <w:keepNext/>
              <w:widowControl w:val="0"/>
              <w:numPr>
                <w:ilvl w:val="0"/>
                <w:numId w:val="7"/>
              </w:numPr>
              <w:ind w:left="567" w:hanging="283"/>
              <w:jc w:val="left"/>
              <w:rPr>
                <w:rFonts w:cs="Arial"/>
              </w:rPr>
            </w:pPr>
            <w:r w:rsidRPr="00FC5C81">
              <w:rPr>
                <w:rFonts w:cs="Arial"/>
                <w:u w:val="single"/>
              </w:rPr>
              <w:t>Signes vitaux</w:t>
            </w:r>
            <w:r w:rsidR="00907A97" w:rsidRPr="00907A97">
              <w:rPr>
                <w:rFonts w:cs="Arial"/>
                <w:u w:val="single"/>
                <w:vertAlign w:val="superscript"/>
              </w:rPr>
              <w:t>1</w:t>
            </w:r>
            <w:r w:rsidRPr="00907A97">
              <w:rPr>
                <w:rFonts w:cs="Arial"/>
              </w:rPr>
              <w:t xml:space="preserve"> : </w:t>
            </w:r>
          </w:p>
          <w:p w14:paraId="5BE3724E" w14:textId="11B76A71" w:rsidR="00907A97" w:rsidRDefault="00FC5C81" w:rsidP="00907A97">
            <w:pPr>
              <w:pStyle w:val="Paragraphedeliste"/>
              <w:keepNext/>
              <w:widowControl w:val="0"/>
              <w:numPr>
                <w:ilvl w:val="1"/>
                <w:numId w:val="7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Tension artérielle, fréquence cardiaque, fréquence respir</w:t>
            </w:r>
            <w:r w:rsidR="00907A97">
              <w:rPr>
                <w:rFonts w:cs="Arial"/>
              </w:rPr>
              <w:t>atoire, température, saturation</w:t>
            </w:r>
          </w:p>
          <w:p w14:paraId="447B22BA" w14:textId="77777777" w:rsidR="00907A97" w:rsidRPr="00907A97" w:rsidRDefault="00907A97" w:rsidP="00907A97">
            <w:pPr>
              <w:pStyle w:val="Paragraphedeliste"/>
              <w:keepNext/>
              <w:widowControl w:val="0"/>
              <w:ind w:left="851"/>
              <w:jc w:val="left"/>
              <w:rPr>
                <w:rFonts w:cs="Arial"/>
              </w:rPr>
            </w:pPr>
          </w:p>
          <w:p w14:paraId="0593C5A6" w14:textId="119AF87F" w:rsidR="00FC5C81" w:rsidRPr="00FC5C81" w:rsidRDefault="00FC5C81" w:rsidP="00DE623B">
            <w:pPr>
              <w:pStyle w:val="Paragraphedeliste"/>
              <w:keepNext/>
              <w:widowControl w:val="0"/>
              <w:numPr>
                <w:ilvl w:val="0"/>
                <w:numId w:val="8"/>
              </w:numPr>
              <w:spacing w:before="40" w:after="40"/>
              <w:ind w:left="567" w:hanging="283"/>
              <w:jc w:val="left"/>
              <w:rPr>
                <w:rFonts w:cs="Arial"/>
                <w:u w:val="single"/>
              </w:rPr>
            </w:pPr>
            <w:r w:rsidRPr="00FC5C81">
              <w:rPr>
                <w:rFonts w:cs="Arial"/>
                <w:u w:val="single"/>
              </w:rPr>
              <w:t>Réactions allergiques</w:t>
            </w:r>
            <w:r w:rsidRPr="00907A97">
              <w:rPr>
                <w:rFonts w:cs="Arial"/>
              </w:rPr>
              <w:t xml:space="preserve"> : </w:t>
            </w:r>
          </w:p>
          <w:p w14:paraId="7C5B9F1A" w14:textId="706D0308" w:rsidR="00FC5C81" w:rsidRPr="00FC5C81" w:rsidRDefault="00FC5C81" w:rsidP="00907A97">
            <w:pPr>
              <w:pStyle w:val="Paragraphedeliste"/>
              <w:keepNext/>
              <w:widowControl w:val="0"/>
              <w:numPr>
                <w:ilvl w:val="1"/>
                <w:numId w:val="8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Rash, prurit, </w:t>
            </w:r>
            <w:proofErr w:type="spellStart"/>
            <w:r>
              <w:rPr>
                <w:rFonts w:cs="Arial"/>
              </w:rPr>
              <w:t>angioedème</w:t>
            </w:r>
            <w:proofErr w:type="spellEnd"/>
            <w:r w:rsidRPr="00FC5C8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bro</w:t>
            </w:r>
            <w:r w:rsidR="00443FEC">
              <w:rPr>
                <w:rFonts w:cs="Arial"/>
              </w:rPr>
              <w:t>n</w:t>
            </w:r>
            <w:r>
              <w:rPr>
                <w:rFonts w:cs="Arial"/>
              </w:rPr>
              <w:t xml:space="preserve">chospasme, </w:t>
            </w:r>
            <w:proofErr w:type="spellStart"/>
            <w:r>
              <w:rPr>
                <w:rFonts w:cs="Arial"/>
              </w:rPr>
              <w:t>flushing</w:t>
            </w:r>
            <w:proofErr w:type="spellEnd"/>
            <w:r>
              <w:rPr>
                <w:rFonts w:cs="Arial"/>
              </w:rPr>
              <w:t>.</w:t>
            </w:r>
          </w:p>
          <w:p w14:paraId="4695EE41" w14:textId="66BE4D62" w:rsidR="00FC5C81" w:rsidRDefault="00FC5C81" w:rsidP="00907A97">
            <w:pPr>
              <w:pStyle w:val="Paragraphedeliste"/>
              <w:keepNext/>
              <w:widowControl w:val="0"/>
              <w:numPr>
                <w:ilvl w:val="1"/>
                <w:numId w:val="8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Tolérance digestive : nausées, vomissements, douleurs ou crampes abdominales</w:t>
            </w:r>
          </w:p>
          <w:p w14:paraId="3FA4F586" w14:textId="77777777" w:rsidR="00907A97" w:rsidRPr="00FC5C81" w:rsidRDefault="00907A97" w:rsidP="00907A97">
            <w:pPr>
              <w:pStyle w:val="Paragraphedeliste"/>
              <w:keepNext/>
              <w:widowControl w:val="0"/>
              <w:ind w:left="851"/>
              <w:jc w:val="left"/>
              <w:rPr>
                <w:rFonts w:cs="Arial"/>
              </w:rPr>
            </w:pPr>
          </w:p>
          <w:p w14:paraId="0EADE2FC" w14:textId="77777777" w:rsidR="00AE4C39" w:rsidRPr="00FC5C81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7"/>
              </w:numPr>
              <w:ind w:left="567" w:hanging="283"/>
              <w:jc w:val="left"/>
              <w:rPr>
                <w:rFonts w:cs="Arial"/>
                <w:b/>
              </w:rPr>
            </w:pPr>
            <w:r w:rsidRPr="00FC5C81">
              <w:rPr>
                <w:rFonts w:cs="Arial"/>
                <w:b/>
              </w:rPr>
              <w:t xml:space="preserve">Fréquence : </w:t>
            </w:r>
          </w:p>
          <w:p w14:paraId="3FE9996A" w14:textId="77777777" w:rsidR="00967B46" w:rsidRPr="00967B46" w:rsidRDefault="00967B46" w:rsidP="00907A97">
            <w:pPr>
              <w:pStyle w:val="Paragraphedeliste"/>
              <w:keepNext/>
              <w:widowControl w:val="0"/>
              <w:numPr>
                <w:ilvl w:val="1"/>
                <w:numId w:val="7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Avant la prochaine dose</w:t>
            </w:r>
          </w:p>
          <w:p w14:paraId="7FAF565D" w14:textId="77777777" w:rsidR="00AE4C39" w:rsidRDefault="00AE4C39" w:rsidP="00907A97">
            <w:pPr>
              <w:pStyle w:val="Paragraphedeliste"/>
              <w:keepNext/>
              <w:widowControl w:val="0"/>
              <w:numPr>
                <w:ilvl w:val="1"/>
                <w:numId w:val="7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5 minutes après chaque dose administrée</w:t>
            </w:r>
          </w:p>
          <w:p w14:paraId="76BF4757" w14:textId="7FE3CD56" w:rsidR="00A140AA" w:rsidRPr="00907A97" w:rsidRDefault="00013448" w:rsidP="00907A97">
            <w:pPr>
              <w:pStyle w:val="Paragraphedeliste"/>
              <w:keepNext/>
              <w:widowControl w:val="0"/>
              <w:numPr>
                <w:ilvl w:val="1"/>
                <w:numId w:val="7"/>
              </w:numPr>
              <w:ind w:left="851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>Tous les</w:t>
            </w:r>
            <w:r w:rsidR="00AE4C39">
              <w:rPr>
                <w:rFonts w:cs="Arial"/>
              </w:rPr>
              <w:t xml:space="preserve"> 30 minutes jusqu’à</w:t>
            </w:r>
            <w:r w:rsidR="00896D01" w:rsidRPr="00564EA3">
              <w:rPr>
                <w:rFonts w:cs="Arial"/>
              </w:rPr>
              <w:t xml:space="preserve"> 2</w:t>
            </w:r>
            <w:r w:rsidR="00AE4C39" w:rsidRPr="00564EA3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>heures après la fin de la désensibilisation (réaction allergique tardive possible)</w:t>
            </w:r>
          </w:p>
          <w:p w14:paraId="486CD576" w14:textId="1B3F6E29" w:rsidR="00AE4C39" w:rsidRPr="00907A97" w:rsidRDefault="00AE4C39" w:rsidP="004803DF">
            <w:pPr>
              <w:keepNext/>
              <w:spacing w:before="120" w:after="80"/>
              <w:jc w:val="left"/>
              <w:rPr>
                <w:rFonts w:cs="Arial"/>
                <w:b/>
                <w:szCs w:val="22"/>
                <w:u w:val="single"/>
              </w:rPr>
            </w:pPr>
            <w:r w:rsidRPr="00907A97">
              <w:rPr>
                <w:rFonts w:cs="Arial"/>
                <w:b/>
                <w:szCs w:val="22"/>
                <w:u w:val="single"/>
              </w:rPr>
              <w:t>Médicaments nécessaires au traitement des réactions allergiques</w:t>
            </w:r>
          </w:p>
          <w:p w14:paraId="1F2F2CEA" w14:textId="6B71E48C" w:rsidR="00AE4C39" w:rsidRDefault="00AE4C39" w:rsidP="00051CBC">
            <w:pPr>
              <w:keepNext/>
              <w:spacing w:after="80"/>
              <w:jc w:val="left"/>
              <w:rPr>
                <w:rFonts w:cs="Arial"/>
              </w:rPr>
            </w:pPr>
            <w:r>
              <w:rPr>
                <w:rFonts w:cs="Arial"/>
              </w:rPr>
              <w:t>Médication valide pour la durée du protocole de désensibilisation à l’aspirine seulement.</w:t>
            </w:r>
          </w:p>
          <w:p w14:paraId="6FDACCD8" w14:textId="7A3A89D7" w:rsidR="00AE4C39" w:rsidRDefault="00564EA3" w:rsidP="00DE623B">
            <w:pPr>
              <w:pStyle w:val="Paragraphedeliste"/>
              <w:keepNext/>
              <w:widowControl w:val="0"/>
              <w:numPr>
                <w:ilvl w:val="0"/>
                <w:numId w:val="9"/>
              </w:numPr>
              <w:ind w:left="567" w:hanging="283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DiphenhydrAMINE</w:t>
            </w:r>
            <w:proofErr w:type="spellEnd"/>
            <w:r w:rsidR="00907A97">
              <w:rPr>
                <w:rFonts w:cs="Arial"/>
              </w:rPr>
              <w:t xml:space="preserve"> 50 mg PO </w:t>
            </w:r>
            <w:r w:rsidR="00AE4C39">
              <w:rPr>
                <w:rFonts w:cs="Arial"/>
              </w:rPr>
              <w:t>IV q4</w:t>
            </w:r>
            <w:r w:rsidR="00907A97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>-</w:t>
            </w:r>
            <w:r w:rsidR="00907A97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>6h PRN si plaques rouges, démangeaisons, congestion nasale</w:t>
            </w:r>
          </w:p>
          <w:p w14:paraId="37F17161" w14:textId="0B59E520" w:rsidR="00AE4C39" w:rsidRDefault="00564EA3" w:rsidP="00DE623B">
            <w:pPr>
              <w:pStyle w:val="Paragraphedeliste"/>
              <w:keepNext/>
              <w:widowControl w:val="0"/>
              <w:numPr>
                <w:ilvl w:val="0"/>
                <w:numId w:val="9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Salbutamol </w:t>
            </w:r>
            <w:r w:rsidR="008F3A55">
              <w:rPr>
                <w:rFonts w:cs="Arial"/>
              </w:rPr>
              <w:t xml:space="preserve"> 2</w:t>
            </w:r>
            <w:r w:rsidR="00907A97">
              <w:rPr>
                <w:rFonts w:cs="Arial"/>
              </w:rPr>
              <w:t xml:space="preserve"> </w:t>
            </w:r>
            <w:r w:rsidR="008F3A55">
              <w:rPr>
                <w:rFonts w:cs="Arial"/>
              </w:rPr>
              <w:t>-</w:t>
            </w:r>
            <w:r w:rsidR="00907A97">
              <w:rPr>
                <w:rFonts w:cs="Arial"/>
              </w:rPr>
              <w:t xml:space="preserve"> </w:t>
            </w:r>
            <w:r w:rsidR="008F3A55">
              <w:rPr>
                <w:rFonts w:cs="Arial"/>
              </w:rPr>
              <w:t>4 inh</w:t>
            </w:r>
            <w:r w:rsidR="00907A97">
              <w:rPr>
                <w:rFonts w:cs="Arial"/>
              </w:rPr>
              <w:t>alations</w:t>
            </w:r>
            <w:r w:rsidR="00AE4C39">
              <w:rPr>
                <w:rFonts w:cs="Arial"/>
              </w:rPr>
              <w:t xml:space="preserve"> q4h PRN si difficultés respiratoires légères à modérées (dyspnée, bronchospasme, respiration bruyante, toux persistante, voix rauque)</w:t>
            </w:r>
          </w:p>
          <w:p w14:paraId="44977A45" w14:textId="4BA83A8D" w:rsidR="00AE4C39" w:rsidRDefault="00564EA3" w:rsidP="00DE623B">
            <w:pPr>
              <w:pStyle w:val="Paragraphedeliste"/>
              <w:keepNext/>
              <w:widowControl w:val="0"/>
              <w:numPr>
                <w:ilvl w:val="0"/>
                <w:numId w:val="9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Acétaminophène </w:t>
            </w:r>
            <w:r w:rsidR="00907A97">
              <w:rPr>
                <w:rFonts w:cs="Arial"/>
              </w:rPr>
              <w:t>500 mg</w:t>
            </w:r>
            <w:r w:rsidR="00AE4C39">
              <w:rPr>
                <w:rFonts w:cs="Arial"/>
              </w:rPr>
              <w:t xml:space="preserve"> 1</w:t>
            </w:r>
            <w:r w:rsidR="00907A97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>-</w:t>
            </w:r>
            <w:r w:rsidR="00907A97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 xml:space="preserve">2 </w:t>
            </w:r>
            <w:proofErr w:type="spellStart"/>
            <w:r w:rsidR="00AE4C39">
              <w:rPr>
                <w:rFonts w:cs="Arial"/>
              </w:rPr>
              <w:t>co</w:t>
            </w:r>
            <w:proofErr w:type="spellEnd"/>
            <w:r w:rsidR="00AE4C39">
              <w:rPr>
                <w:rFonts w:cs="Arial"/>
              </w:rPr>
              <w:t xml:space="preserve"> PO q4</w:t>
            </w:r>
            <w:r w:rsidR="00907A97">
              <w:rPr>
                <w:rFonts w:cs="Arial"/>
              </w:rPr>
              <w:t xml:space="preserve"> </w:t>
            </w:r>
            <w:r w:rsidR="00AE4C39">
              <w:rPr>
                <w:rFonts w:cs="Arial"/>
              </w:rPr>
              <w:t>-</w:t>
            </w:r>
            <w:r w:rsidR="00907A97">
              <w:rPr>
                <w:rFonts w:cs="Arial"/>
              </w:rPr>
              <w:t xml:space="preserve"> </w:t>
            </w:r>
            <w:r w:rsidR="00560FF0">
              <w:rPr>
                <w:rFonts w:cs="Arial"/>
              </w:rPr>
              <w:t>6</w:t>
            </w:r>
            <w:r w:rsidR="00AE4C39">
              <w:rPr>
                <w:rFonts w:cs="Arial"/>
              </w:rPr>
              <w:t>h PRN si maux de tête, température ou frissons</w:t>
            </w:r>
          </w:p>
          <w:p w14:paraId="16CE91B6" w14:textId="77777777" w:rsidR="00AE4C39" w:rsidRDefault="00AE4C39" w:rsidP="00DE623B">
            <w:pPr>
              <w:keepNext/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Si réactions allergiques sévères :  </w:t>
            </w:r>
          </w:p>
          <w:p w14:paraId="0DB8A793" w14:textId="4C9C2C5B" w:rsidR="00AE4C39" w:rsidRDefault="00DE623B" w:rsidP="00DE623B">
            <w:pPr>
              <w:pStyle w:val="Paragraphedeliste"/>
              <w:keepNext/>
              <w:widowControl w:val="0"/>
              <w:ind w:left="567" w:hanging="283"/>
              <w:jc w:val="left"/>
            </w:pPr>
            <w:r>
              <w:t xml:space="preserve">√ </w:t>
            </w:r>
            <w:r>
              <w:tab/>
            </w:r>
            <w:r w:rsidR="00AE4C39">
              <w:t xml:space="preserve">Difficultés </w:t>
            </w:r>
            <w:r w:rsidR="00AE4C39" w:rsidRPr="00DE623B">
              <w:rPr>
                <w:rFonts w:cs="Arial"/>
              </w:rPr>
              <w:t>respiratoires</w:t>
            </w:r>
            <w:r w:rsidR="00AE4C39">
              <w:t xml:space="preserve"> sévères (serrement à la gorge, sensation d’étouffement, difficulté à avaler, œdème laryngé ou facial, bronchospasme)</w:t>
            </w:r>
          </w:p>
          <w:p w14:paraId="4F3B6B18" w14:textId="6BB6864D" w:rsidR="00AE4C39" w:rsidRDefault="00DE623B" w:rsidP="00DE623B">
            <w:pPr>
              <w:keepNext/>
              <w:widowControl w:val="0"/>
              <w:ind w:left="567" w:hanging="283"/>
              <w:jc w:val="left"/>
            </w:pPr>
            <w:r>
              <w:t xml:space="preserve">√ </w:t>
            </w:r>
            <w:r>
              <w:tab/>
            </w:r>
            <w:r w:rsidR="00AE4C39">
              <w:t>Défaillance circulatoire (</w:t>
            </w:r>
            <w:r w:rsidR="00AE4C39" w:rsidRPr="00DE623B">
              <w:rPr>
                <w:rFonts w:cs="Arial"/>
              </w:rPr>
              <w:t>hypotension</w:t>
            </w:r>
            <w:r w:rsidR="00AE4C39">
              <w:t>, pouls rapide et faible, cyanose, altération de l’état de conscience)</w:t>
            </w:r>
          </w:p>
          <w:p w14:paraId="35884BA4" w14:textId="648B9DF5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4"/>
              </w:numPr>
              <w:ind w:left="851" w:hanging="284"/>
              <w:jc w:val="left"/>
            </w:pPr>
            <w:proofErr w:type="spellStart"/>
            <w:r w:rsidRPr="00051CBC">
              <w:rPr>
                <w:rFonts w:cs="Arial"/>
              </w:rPr>
              <w:t>DiphenhydrAMINE</w:t>
            </w:r>
            <w:proofErr w:type="spellEnd"/>
            <w:r w:rsidR="00564EA3">
              <w:t xml:space="preserve"> </w:t>
            </w:r>
            <w:r>
              <w:t xml:space="preserve">50 mg IV </w:t>
            </w:r>
            <w:r w:rsidR="00DE623B">
              <w:t>STAT</w:t>
            </w:r>
          </w:p>
          <w:p w14:paraId="48CAA4B3" w14:textId="063D5AE0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4"/>
              </w:numPr>
              <w:ind w:left="851" w:hanging="284"/>
              <w:jc w:val="left"/>
            </w:pPr>
            <w:proofErr w:type="spellStart"/>
            <w:r w:rsidRPr="00051CBC">
              <w:rPr>
                <w:rFonts w:cs="Arial"/>
              </w:rPr>
              <w:t>Épinéphrine</w:t>
            </w:r>
            <w:proofErr w:type="spellEnd"/>
            <w:r w:rsidR="00DE623B">
              <w:t xml:space="preserve"> 1 mg/</w:t>
            </w:r>
            <w:proofErr w:type="spellStart"/>
            <w:r w:rsidR="00DE623B">
              <w:t>mL</w:t>
            </w:r>
            <w:proofErr w:type="spellEnd"/>
            <w:r w:rsidR="00013448">
              <w:t xml:space="preserve"> 0,3 mg</w:t>
            </w:r>
            <w:r w:rsidR="00DE623B">
              <w:t xml:space="preserve"> IM STAT</w:t>
            </w:r>
            <w:bookmarkStart w:id="6" w:name="_GoBack"/>
            <w:bookmarkEnd w:id="6"/>
          </w:p>
          <w:p w14:paraId="211D43DE" w14:textId="2580AC6C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4"/>
              </w:numPr>
              <w:ind w:left="851" w:hanging="284"/>
              <w:jc w:val="left"/>
              <w:rPr>
                <w:lang w:val="en-CA"/>
              </w:rPr>
            </w:pPr>
            <w:proofErr w:type="spellStart"/>
            <w:r w:rsidRPr="00CE3CE8">
              <w:rPr>
                <w:rFonts w:cs="Arial"/>
                <w:lang w:val="en-CA"/>
              </w:rPr>
              <w:t>Méthylprednisolone</w:t>
            </w:r>
            <w:proofErr w:type="spellEnd"/>
            <w:r w:rsidR="00DE623B">
              <w:rPr>
                <w:lang w:val="en-CA"/>
              </w:rPr>
              <w:t xml:space="preserve"> 125 mg IV </w:t>
            </w:r>
            <w:r w:rsidR="00DE623B">
              <w:t>STAT</w:t>
            </w:r>
          </w:p>
          <w:p w14:paraId="49CE3E00" w14:textId="15F87B79" w:rsidR="00564EA3" w:rsidRDefault="00564EA3" w:rsidP="00DE623B">
            <w:pPr>
              <w:pStyle w:val="Paragraphedeliste"/>
              <w:keepNext/>
              <w:widowControl w:val="0"/>
              <w:numPr>
                <w:ilvl w:val="0"/>
                <w:numId w:val="14"/>
              </w:numPr>
              <w:ind w:left="851" w:hanging="284"/>
              <w:jc w:val="left"/>
            </w:pPr>
            <w:r>
              <w:rPr>
                <w:lang w:val="en-CA"/>
              </w:rPr>
              <w:t>Famotidine</w:t>
            </w:r>
            <w:r w:rsidR="007E1165">
              <w:t xml:space="preserve"> </w:t>
            </w:r>
            <w:r w:rsidR="007E1165" w:rsidRPr="007E1165">
              <w:rPr>
                <w:highlight w:val="yellow"/>
              </w:rPr>
              <w:t>2</w:t>
            </w:r>
            <w:r w:rsidR="00DE623B" w:rsidRPr="007E1165">
              <w:rPr>
                <w:highlight w:val="yellow"/>
              </w:rPr>
              <w:t>0</w:t>
            </w:r>
            <w:r w:rsidR="00DE623B">
              <w:t xml:space="preserve"> mg IV STAT</w:t>
            </w:r>
          </w:p>
          <w:p w14:paraId="23504790" w14:textId="77777777" w:rsidR="00EE40A9" w:rsidRDefault="00EE40A9" w:rsidP="00564EA3">
            <w:pPr>
              <w:keepNext/>
              <w:widowControl w:val="0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6552ECCE" w14:textId="71E06D4E" w:rsidR="00AE4C39" w:rsidRPr="00DE623B" w:rsidRDefault="00AE4C39" w:rsidP="00DE623B">
            <w:pPr>
              <w:keepNext/>
              <w:widowControl w:val="0"/>
              <w:spacing w:before="120"/>
              <w:jc w:val="left"/>
              <w:rPr>
                <w:sz w:val="18"/>
              </w:rPr>
            </w:pPr>
            <w:r w:rsidRPr="00DE623B">
              <w:rPr>
                <w:rFonts w:cs="Arial"/>
                <w:b/>
                <w:szCs w:val="22"/>
                <w:u w:val="single"/>
              </w:rPr>
              <w:lastRenderedPageBreak/>
              <w:t>Si détection d’une réaction allergique, de difficultés respiratoires ou d’une défaillance circulatoire</w:t>
            </w:r>
            <w:r w:rsidRPr="00DE623B">
              <w:rPr>
                <w:rFonts w:cs="Arial"/>
                <w:b/>
                <w:szCs w:val="22"/>
              </w:rPr>
              <w:t> :</w:t>
            </w:r>
          </w:p>
          <w:p w14:paraId="3953781F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8"/>
              </w:numPr>
              <w:spacing w:before="120"/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Aviser le médecin présent sur l’unité de soins STAT et administrer sans délai les médicaments prescrits.</w:t>
            </w:r>
          </w:p>
          <w:p w14:paraId="52341C92" w14:textId="6B13FBE1" w:rsidR="00AE4C39" w:rsidRDefault="00DE623B" w:rsidP="00DE623B">
            <w:pPr>
              <w:pStyle w:val="Paragraphedeliste"/>
              <w:keepNext/>
              <w:ind w:left="851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(selon les installations : u</w:t>
            </w:r>
            <w:r w:rsidR="00AE4C39">
              <w:rPr>
                <w:rFonts w:cs="Arial"/>
              </w:rPr>
              <w:t>tiliser la</w:t>
            </w:r>
            <w:r>
              <w:rPr>
                <w:rFonts w:cs="Arial"/>
              </w:rPr>
              <w:t xml:space="preserve"> trousse de choc anaphylactique </w:t>
            </w:r>
            <w:r w:rsidR="00AE4C39">
              <w:rPr>
                <w:rFonts w:cs="Arial"/>
              </w:rPr>
              <w:t>si disponible)</w:t>
            </w:r>
          </w:p>
          <w:p w14:paraId="3438E8AD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8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Cesser le protocole pour une durée minimale de 30 minutes ou jusqu’à la résolution des symptômes.</w:t>
            </w:r>
          </w:p>
          <w:p w14:paraId="4FB15128" w14:textId="56C3E4DB" w:rsidR="00EE40A9" w:rsidRPr="00DE623B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8"/>
              </w:numPr>
              <w:spacing w:after="120"/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Si réaction allergique sévère (difficultés respiratoires sévères ou défaillance circulatoire) : lancer le code bleu</w:t>
            </w:r>
          </w:p>
          <w:p w14:paraId="76440ADC" w14:textId="461ACA79" w:rsidR="00AE4C39" w:rsidRPr="00DE623B" w:rsidRDefault="00AE4C39" w:rsidP="00DE623B">
            <w:pPr>
              <w:keepNext/>
              <w:spacing w:before="240" w:after="80"/>
              <w:jc w:val="left"/>
              <w:rPr>
                <w:rFonts w:cs="Arial"/>
                <w:szCs w:val="22"/>
              </w:rPr>
            </w:pPr>
            <w:r w:rsidRPr="00DE623B">
              <w:rPr>
                <w:rFonts w:cs="Arial"/>
                <w:b/>
                <w:szCs w:val="22"/>
                <w:u w:val="single"/>
              </w:rPr>
              <w:t>Reprise du protocole de désensibilisation, lors de la disparition des symptômes (avec ou sans traitement)</w:t>
            </w:r>
          </w:p>
          <w:p w14:paraId="2B61843F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1"/>
              </w:numPr>
              <w:spacing w:before="120"/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Confirmer la reprise du protocole avec l’équipe traitante selon la sévérité de la réaction allergique présentée.</w:t>
            </w:r>
          </w:p>
          <w:p w14:paraId="571B3522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1"/>
                <w:numId w:val="11"/>
              </w:numPr>
              <w:ind w:left="851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Il est souhaitable de cesser la désensibilisation lors d’une réaction allergique sévère, de défaillance circulatoire ou si l’intubation est nécessaire.</w:t>
            </w:r>
          </w:p>
          <w:p w14:paraId="49D247CC" w14:textId="77777777" w:rsidR="00AE4C39" w:rsidRPr="004051BD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1"/>
              </w:numPr>
              <w:ind w:left="567" w:hanging="283"/>
              <w:jc w:val="left"/>
              <w:rPr>
                <w:rFonts w:cs="Arial"/>
              </w:rPr>
            </w:pPr>
            <w:r w:rsidRPr="004051BD">
              <w:rPr>
                <w:rFonts w:cs="Arial"/>
              </w:rPr>
              <w:t>Demander une nouvelle solution d’aspirine pour la reprise de la désensibilisation.</w:t>
            </w:r>
          </w:p>
          <w:p w14:paraId="23192CE9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1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Répéter la dernière dose tolérée sans réaction allergique et poursuivre le protocole.</w:t>
            </w:r>
          </w:p>
          <w:p w14:paraId="17DCAB48" w14:textId="20143CC0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1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Considérer d’augmenter l’intervalle entre les doses (q30</w:t>
            </w:r>
            <w:r w:rsidR="00DE62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="00DE623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60 minutes) jusqu’à la fin du protocole.</w:t>
            </w:r>
          </w:p>
          <w:p w14:paraId="07A3AB52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0"/>
                <w:numId w:val="11"/>
              </w:numPr>
              <w:ind w:left="567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Si désensibilisation réussie, en indiquer la date dans :</w:t>
            </w:r>
          </w:p>
          <w:p w14:paraId="2CF02B2D" w14:textId="3C66DA18" w:rsidR="00AE4C39" w:rsidRDefault="00AE4C39" w:rsidP="00DE623B">
            <w:pPr>
              <w:pStyle w:val="Paragraphedeliste"/>
              <w:keepNext/>
              <w:widowControl w:val="0"/>
              <w:numPr>
                <w:ilvl w:val="1"/>
                <w:numId w:val="11"/>
              </w:numPr>
              <w:ind w:left="851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le dossier</w:t>
            </w:r>
            <w:r w:rsidR="00C007DA">
              <w:rPr>
                <w:rFonts w:cs="Arial"/>
              </w:rPr>
              <w:t xml:space="preserve"> médical et pharmaceutique</w:t>
            </w:r>
            <w:r>
              <w:rPr>
                <w:rFonts w:cs="Arial"/>
              </w:rPr>
              <w:t xml:space="preserve"> d</w:t>
            </w:r>
            <w:r w:rsidR="00DE623B">
              <w:rPr>
                <w:rFonts w:cs="Arial"/>
              </w:rPr>
              <w:t>e l’usager</w:t>
            </w:r>
            <w:r>
              <w:rPr>
                <w:rFonts w:cs="Arial"/>
              </w:rPr>
              <w:t xml:space="preserve"> (papier/informatique dans la section allergie) </w:t>
            </w:r>
          </w:p>
          <w:p w14:paraId="14B534A4" w14:textId="77777777" w:rsidR="00AE4C39" w:rsidRDefault="00AE4C39" w:rsidP="00DE623B">
            <w:pPr>
              <w:pStyle w:val="Paragraphedeliste"/>
              <w:keepNext/>
              <w:widowControl w:val="0"/>
              <w:numPr>
                <w:ilvl w:val="1"/>
                <w:numId w:val="11"/>
              </w:numPr>
              <w:ind w:left="851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>la feuille sommaire d’hospitalisation</w:t>
            </w:r>
          </w:p>
          <w:p w14:paraId="06B14283" w14:textId="77777777" w:rsidR="005C732E" w:rsidRPr="002B42D7" w:rsidRDefault="00AE4C39" w:rsidP="00DE623B">
            <w:pPr>
              <w:pStyle w:val="Paragraphedeliste"/>
              <w:keepNext/>
              <w:widowControl w:val="0"/>
              <w:numPr>
                <w:ilvl w:val="1"/>
                <w:numId w:val="11"/>
              </w:numPr>
              <w:ind w:left="851" w:hanging="28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l’ordonnance de départ pour le pharmacien communautaire    </w:t>
            </w:r>
          </w:p>
        </w:tc>
      </w:tr>
      <w:tr w:rsidR="005C732E" w:rsidRPr="007E60A7" w14:paraId="1DEC747D" w14:textId="7777777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1D4228A5" w14:textId="082D58CD" w:rsidR="005C732E" w:rsidRPr="007E60A7" w:rsidRDefault="005C732E" w:rsidP="00DE623B">
            <w:pPr>
              <w:spacing w:before="360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0E1E1258" w14:textId="77777777" w:rsidR="005C732E" w:rsidRPr="007E60A7" w:rsidRDefault="005C732E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32B269A0" w14:textId="77777777" w:rsidR="005C732E" w:rsidRPr="007E60A7" w:rsidRDefault="005C732E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018AE6B0" w14:textId="77777777" w:rsidR="005C732E" w:rsidRPr="007E60A7" w:rsidRDefault="005C732E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48C08CF5" w14:textId="77777777" w:rsidR="005C732E" w:rsidRPr="007E60A7" w:rsidRDefault="005C732E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2BF3B5C8" w14:textId="7777777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133DAA6B" w14:textId="77777777" w:rsidR="003858B7" w:rsidRPr="007E60A7" w:rsidRDefault="003858B7" w:rsidP="0026454D">
            <w:pPr>
              <w:jc w:val="center"/>
              <w:rPr>
                <w:rFonts w:cs="Times New Roman"/>
              </w:rPr>
            </w:pPr>
            <w:r w:rsidRPr="007E60A7">
              <w:rPr>
                <w:rFonts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F7787" w14:textId="77777777" w:rsidR="003858B7" w:rsidRPr="007E60A7" w:rsidRDefault="003858B7" w:rsidP="0026454D">
            <w:pPr>
              <w:jc w:val="center"/>
              <w:rPr>
                <w:rFonts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5959C6" w14:textId="77777777" w:rsidR="003858B7" w:rsidRPr="007E60A7" w:rsidRDefault="003858B7" w:rsidP="0026454D">
            <w:pPr>
              <w:jc w:val="center"/>
              <w:rPr>
                <w:rFonts w:cs="Times New Roman"/>
              </w:rPr>
            </w:pPr>
            <w:r w:rsidRPr="007E60A7">
              <w:rPr>
                <w:rFonts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1D5D1B5" w14:textId="77777777" w:rsidR="003858B7" w:rsidRPr="007E60A7" w:rsidRDefault="003858B7" w:rsidP="0026454D">
            <w:pPr>
              <w:jc w:val="center"/>
              <w:rPr>
                <w:rFonts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52DAB8E3" w14:textId="77777777" w:rsidR="003858B7" w:rsidRPr="007E60A7" w:rsidRDefault="003858B7" w:rsidP="00D364AF">
            <w:pPr>
              <w:jc w:val="center"/>
              <w:rPr>
                <w:rFonts w:cs="Times New Roman"/>
              </w:rPr>
            </w:pPr>
            <w:r w:rsidRPr="007E60A7">
              <w:rPr>
                <w:rFonts w:cs="Times New Roman"/>
              </w:rPr>
              <w:t>N</w:t>
            </w:r>
            <w:r w:rsidRPr="007E60A7">
              <w:rPr>
                <w:rFonts w:cs="Times New Roman"/>
                <w:vertAlign w:val="superscript"/>
              </w:rPr>
              <w:t>o</w:t>
            </w:r>
            <w:r w:rsidRPr="007E60A7">
              <w:rPr>
                <w:rFonts w:cs="Times New Roman"/>
              </w:rPr>
              <w:t xml:space="preserve"> de permis</w:t>
            </w:r>
          </w:p>
        </w:tc>
      </w:tr>
      <w:tr w:rsidR="007709CC" w:rsidRPr="007709CC" w14:paraId="6B9089B4" w14:textId="77777777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3F9180EA" w14:textId="01FA5A3D" w:rsidR="007709CC" w:rsidRPr="00DE623B" w:rsidRDefault="007709CC" w:rsidP="00DE623B">
            <w:pPr>
              <w:spacing w:before="60"/>
              <w:ind w:right="-108"/>
              <w:rPr>
                <w:rFonts w:cs="Times New Roman"/>
                <w:sz w:val="18"/>
              </w:rPr>
            </w:pPr>
            <w:r w:rsidRPr="00ED0C88">
              <w:rPr>
                <w:rFonts w:cs="Times New Roman"/>
                <w:sz w:val="18"/>
                <w:vertAlign w:val="superscript"/>
              </w:rPr>
              <w:t xml:space="preserve">1 </w:t>
            </w:r>
            <w:r w:rsidR="00DE623B">
              <w:rPr>
                <w:rFonts w:cs="Times New Roman"/>
                <w:sz w:val="18"/>
              </w:rPr>
              <w:t>Documenter dans le DCI</w:t>
            </w:r>
            <w:r w:rsidRPr="00ED0C88">
              <w:rPr>
                <w:rFonts w:cs="Times New Roman"/>
                <w:sz w:val="18"/>
              </w:rPr>
              <w:t xml:space="preserve"> (ARIANE)</w:t>
            </w:r>
            <w:r w:rsidR="002314A0" w:rsidRPr="00ED0C88">
              <w:rPr>
                <w:rFonts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C0B60E2" w14:textId="77777777"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cs="Times New Roman"/>
                <w:sz w:val="14"/>
              </w:rPr>
              <w:t>(année/mois/jour)</w:t>
            </w:r>
            <w:r w:rsidRPr="007709CC">
              <w:rPr>
                <w:rFonts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44152EDF" w14:textId="77777777" w:rsidR="00013621" w:rsidRPr="006F2376" w:rsidRDefault="00013621" w:rsidP="006F2376">
      <w:pPr>
        <w:spacing w:after="0"/>
        <w:rPr>
          <w:sz w:val="2"/>
        </w:rPr>
      </w:pPr>
    </w:p>
    <w:sectPr w:rsidR="00013621" w:rsidRPr="006F2376" w:rsidSect="00E06B7F">
      <w:headerReference w:type="default" r:id="rId10"/>
      <w:footerReference w:type="default" r:id="rId11"/>
      <w:footerReference w:type="first" r:id="rId12"/>
      <w:pgSz w:w="12240" w:h="15840" w:code="1"/>
      <w:pgMar w:top="794" w:right="567" w:bottom="794" w:left="964" w:header="709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B5F2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B5F2F8" w16cid:durableId="287B89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F639A" w14:textId="77777777" w:rsidR="006A4CB4" w:rsidRDefault="006A4CB4" w:rsidP="00D16F25">
      <w:pPr>
        <w:spacing w:after="0" w:line="240" w:lineRule="auto"/>
      </w:pPr>
      <w:r>
        <w:separator/>
      </w:r>
    </w:p>
  </w:endnote>
  <w:endnote w:type="continuationSeparator" w:id="0">
    <w:p w14:paraId="674FF888" w14:textId="77777777" w:rsidR="006A4CB4" w:rsidRDefault="006A4CB4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673A3829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38C048B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0D973DEA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7E2EDF52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1B49CBB1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3F8961F9" w14:textId="01B3424E" w:rsidR="00630AE7" w:rsidRPr="00F13BFE" w:rsidRDefault="00630AE7" w:rsidP="0019362C">
          <w:pPr>
            <w:pStyle w:val="Pieddepage"/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4806893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cs="Times New Roman"/>
              <w:b/>
              <w:sz w:val="24"/>
              <w:szCs w:val="24"/>
            </w:rPr>
          </w:pPr>
          <w:r w:rsidRPr="00630AE7">
            <w:rPr>
              <w:rFonts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D387E16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cs="Times New Roman"/>
              <w:spacing w:val="-4"/>
            </w:rPr>
          </w:pPr>
          <w:r w:rsidRPr="000425DB">
            <w:rPr>
              <w:rFonts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6727A14B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917F387" w14:textId="18E0ED57" w:rsidR="00630AE7" w:rsidRPr="00F13BFE" w:rsidRDefault="00F9085A" w:rsidP="00637762">
          <w:pPr>
            <w:pStyle w:val="Pieddepage"/>
          </w:pPr>
          <w:r>
            <w:t>202</w:t>
          </w:r>
          <w:r w:rsidR="00DE623B">
            <w:t>4-05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eastAsia="Calibri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eastAsia="Calibri" w:cs="Times New Roman"/>
                  <w:caps/>
                  <w:szCs w:val="22"/>
                </w:rPr>
                <w:id w:val="-769231824"/>
              </w:sdtPr>
              <w:sdtEndPr>
                <w:rPr>
                  <w:rFonts w:ascii="Calibri" w:hAnsi="Calibri" w:cs="Calibri"/>
                  <w:b/>
                  <w:caps w:val="0"/>
                  <w:szCs w:val="20"/>
                </w:rPr>
              </w:sdtEndPr>
              <w:sdtContent>
                <w:p w14:paraId="26E68505" w14:textId="2EB748DC" w:rsidR="00630AE7" w:rsidRPr="00DE623B" w:rsidRDefault="00DE623B" w:rsidP="00DE623B">
                  <w:pPr>
                    <w:spacing w:before="8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EB379B">
                    <w:rPr>
                      <w:rFonts w:cs="Arial"/>
                      <w:szCs w:val="22"/>
                    </w:rPr>
                    <w:t>PROTOCOLE RAPIDE DE DÉSENSIBILISATION À L'ASPIRINE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489D7C5" w14:textId="55193487" w:rsidR="00630AE7" w:rsidRPr="000425DB" w:rsidRDefault="00FC03F8" w:rsidP="00B77131">
          <w:pPr>
            <w:pStyle w:val="Pieddepage"/>
            <w:spacing w:before="40"/>
            <w:jc w:val="right"/>
            <w:rPr>
              <w:rFonts w:cs="Times New Roman"/>
              <w:color w:val="E36C0A" w:themeColor="accent6" w:themeShade="BF"/>
              <w:spacing w:val="-4"/>
            </w:rPr>
          </w:pPr>
          <w:r w:rsidRPr="00FC03F8">
            <w:rPr>
              <w:rFonts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instrText>PAGE  \* Arabic  \* MERGEFORMAT</w:instrTex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="007E1165">
            <w:rPr>
              <w:rFonts w:cs="Times New Roman"/>
              <w:b/>
              <w:bCs/>
              <w:noProof/>
              <w:color w:val="E36C0A" w:themeColor="accent6" w:themeShade="BF"/>
              <w:spacing w:val="-4"/>
            </w:rPr>
            <w:t>3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  <w:r w:rsidRPr="00FC03F8">
            <w:rPr>
              <w:rFonts w:cs="Times New Roman"/>
              <w:color w:val="E36C0A" w:themeColor="accent6" w:themeShade="BF"/>
              <w:spacing w:val="-4"/>
              <w:lang w:val="fr-FR"/>
            </w:rPr>
            <w:t xml:space="preserve"> sur 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instrText>NUMPAGES  \* Arabic  \* MERGEFORMAT</w:instrTex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="007E1165">
            <w:rPr>
              <w:rFonts w:cs="Times New Roman"/>
              <w:b/>
              <w:bCs/>
              <w:noProof/>
              <w:color w:val="E36C0A" w:themeColor="accent6" w:themeShade="BF"/>
              <w:spacing w:val="-4"/>
            </w:rPr>
            <w:t>3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</w:p>
      </w:tc>
    </w:tr>
  </w:tbl>
  <w:p w14:paraId="7663967B" w14:textId="77777777" w:rsidR="006E2EEA" w:rsidRDefault="006E2EEA" w:rsidP="006E2E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7429CE" w:rsidRPr="004E1AE2" w14:paraId="784A12FA" w14:textId="77777777" w:rsidTr="007429CE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27C46EDA" w14:textId="001453A4" w:rsidR="007429CE" w:rsidRPr="00F13BFE" w:rsidRDefault="007429CE" w:rsidP="007429CE">
          <w:pPr>
            <w:pStyle w:val="Pieddepage"/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5DD69E0" w14:textId="77777777" w:rsidR="007429CE" w:rsidRPr="00630AE7" w:rsidRDefault="007429CE" w:rsidP="007429CE">
          <w:pPr>
            <w:pStyle w:val="Pieddepage"/>
            <w:tabs>
              <w:tab w:val="clear" w:pos="4320"/>
            </w:tabs>
            <w:spacing w:before="40"/>
            <w:jc w:val="center"/>
            <w:rPr>
              <w:rFonts w:cs="Times New Roman"/>
              <w:b/>
              <w:sz w:val="24"/>
              <w:szCs w:val="24"/>
            </w:rPr>
          </w:pPr>
          <w:r w:rsidRPr="00630AE7">
            <w:rPr>
              <w:rFonts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A339790" w14:textId="77777777" w:rsidR="007429CE" w:rsidRPr="007E60A7" w:rsidRDefault="007429CE" w:rsidP="007429CE">
          <w:pPr>
            <w:pStyle w:val="Pieddepage"/>
            <w:spacing w:before="120"/>
            <w:jc w:val="right"/>
            <w:rPr>
              <w:rFonts w:cs="Times New Roman"/>
              <w:spacing w:val="-4"/>
            </w:rPr>
          </w:pPr>
          <w:r w:rsidRPr="000425DB">
            <w:rPr>
              <w:rFonts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7429CE" w:rsidRPr="004E1AE2" w14:paraId="4ECEE2A5" w14:textId="77777777" w:rsidTr="00F52AB2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4CC6EC58" w14:textId="0F28F143" w:rsidR="007429CE" w:rsidRPr="00F13BFE" w:rsidRDefault="00DE623B" w:rsidP="007429CE">
          <w:pPr>
            <w:pStyle w:val="Pieddepage"/>
          </w:pPr>
          <w:r>
            <w:t>2024-05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eastAsia="Calibri" w:cs="Times New Roman"/>
              <w:caps/>
              <w:szCs w:val="22"/>
            </w:rPr>
            <w:id w:val="-263374690"/>
          </w:sdtPr>
          <w:sdtEndPr>
            <w:rPr>
              <w:rFonts w:ascii="Calibri" w:hAnsi="Calibri" w:cs="Calibri"/>
              <w:b/>
              <w:caps w:val="0"/>
              <w:szCs w:val="20"/>
            </w:rPr>
          </w:sdtEndPr>
          <w:sdtContent>
            <w:sdt>
              <w:sdtPr>
                <w:rPr>
                  <w:rFonts w:eastAsia="Calibri" w:cs="Times New Roman"/>
                  <w:caps/>
                  <w:szCs w:val="22"/>
                </w:rPr>
                <w:id w:val="-981311266"/>
              </w:sdtPr>
              <w:sdtEndPr>
                <w:rPr>
                  <w:rFonts w:ascii="Calibri" w:hAnsi="Calibri" w:cs="Calibri"/>
                  <w:b/>
                  <w:caps w:val="0"/>
                  <w:szCs w:val="20"/>
                </w:rPr>
              </w:sdtEndPr>
              <w:sdtContent>
                <w:p w14:paraId="0665B8A0" w14:textId="1970ADE7" w:rsidR="007429CE" w:rsidRPr="00EB379B" w:rsidRDefault="00EB379B" w:rsidP="00EB379B">
                  <w:pPr>
                    <w:spacing w:before="8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EB379B">
                    <w:rPr>
                      <w:rFonts w:cs="Arial"/>
                      <w:szCs w:val="22"/>
                    </w:rPr>
                    <w:t>PROTOCOLE RAPIDE DE DÉSENSIBILISATION À L'ASPIRINE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07687EA3" w14:textId="6CF5889C" w:rsidR="007429CE" w:rsidRPr="000425DB" w:rsidRDefault="00FC03F8" w:rsidP="007429CE">
          <w:pPr>
            <w:pStyle w:val="Pieddepage"/>
            <w:spacing w:before="40"/>
            <w:jc w:val="right"/>
            <w:rPr>
              <w:rFonts w:cs="Times New Roman"/>
              <w:color w:val="E36C0A" w:themeColor="accent6" w:themeShade="BF"/>
              <w:spacing w:val="-4"/>
            </w:rPr>
          </w:pPr>
          <w:r w:rsidRPr="00FC03F8">
            <w:rPr>
              <w:rFonts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instrText>PAGE  \* Arabic  \* MERGEFORMAT</w:instrTex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="007E1165" w:rsidRPr="007E1165">
            <w:rPr>
              <w:rFonts w:cs="Times New Roman"/>
              <w:b/>
              <w:bCs/>
              <w:noProof/>
              <w:color w:val="E36C0A" w:themeColor="accent6" w:themeShade="BF"/>
              <w:spacing w:val="-4"/>
              <w:lang w:val="fr-FR"/>
            </w:rPr>
            <w:t>1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  <w:r w:rsidRPr="00FC03F8">
            <w:rPr>
              <w:rFonts w:cs="Times New Roman"/>
              <w:color w:val="E36C0A" w:themeColor="accent6" w:themeShade="BF"/>
              <w:spacing w:val="-4"/>
              <w:lang w:val="fr-FR"/>
            </w:rPr>
            <w:t xml:space="preserve"> sur 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begin"/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instrText>NUMPAGES  \* Arabic  \* MERGEFORMAT</w:instrTex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separate"/>
          </w:r>
          <w:r w:rsidR="007E1165" w:rsidRPr="007E1165">
            <w:rPr>
              <w:rFonts w:cs="Times New Roman"/>
              <w:b/>
              <w:bCs/>
              <w:noProof/>
              <w:color w:val="E36C0A" w:themeColor="accent6" w:themeShade="BF"/>
              <w:spacing w:val="-4"/>
              <w:lang w:val="fr-FR"/>
            </w:rPr>
            <w:t>3</w:t>
          </w:r>
          <w:r w:rsidRPr="00FC03F8">
            <w:rPr>
              <w:rFonts w:cs="Times New Roman"/>
              <w:b/>
              <w:bCs/>
              <w:color w:val="E36C0A" w:themeColor="accent6" w:themeShade="BF"/>
              <w:spacing w:val="-4"/>
            </w:rPr>
            <w:fldChar w:fldCharType="end"/>
          </w:r>
        </w:p>
      </w:tc>
    </w:tr>
  </w:tbl>
  <w:p w14:paraId="5CB4FC8C" w14:textId="77777777" w:rsidR="007429CE" w:rsidRDefault="007429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DE44C" w14:textId="77777777" w:rsidR="006A4CB4" w:rsidRDefault="006A4CB4" w:rsidP="00D16F25">
      <w:pPr>
        <w:spacing w:after="0" w:line="240" w:lineRule="auto"/>
      </w:pPr>
      <w:r>
        <w:separator/>
      </w:r>
    </w:p>
  </w:footnote>
  <w:footnote w:type="continuationSeparator" w:id="0">
    <w:p w14:paraId="1EC80075" w14:textId="77777777" w:rsidR="006A4CB4" w:rsidRDefault="006A4CB4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904" w:type="dxa"/>
      <w:tblLayout w:type="fixed"/>
      <w:tblLook w:val="04A0" w:firstRow="1" w:lastRow="0" w:firstColumn="1" w:lastColumn="0" w:noHBand="0" w:noVBand="1"/>
    </w:tblPr>
    <w:tblGrid>
      <w:gridCol w:w="3009"/>
      <w:gridCol w:w="2425"/>
      <w:gridCol w:w="241"/>
      <w:gridCol w:w="5229"/>
    </w:tblGrid>
    <w:tr w:rsidR="00E06B7F" w14:paraId="69DDD27B" w14:textId="77777777" w:rsidTr="00E06B7F">
      <w:trPr>
        <w:trHeight w:val="1531"/>
      </w:trPr>
      <w:tc>
        <w:tcPr>
          <w:tcW w:w="3009" w:type="dxa"/>
          <w:tcBorders>
            <w:top w:val="nil"/>
            <w:left w:val="nil"/>
            <w:bottom w:val="nil"/>
            <w:right w:val="nil"/>
          </w:tcBorders>
        </w:tcPr>
        <w:p w14:paraId="0856489F" w14:textId="74F9C0E3" w:rsidR="00E06B7F" w:rsidRDefault="00E06B7F" w:rsidP="00F52AB2">
          <w:pPr>
            <w:ind w:left="-284"/>
          </w:pPr>
        </w:p>
      </w:tc>
      <w:tc>
        <w:tcPr>
          <w:tcW w:w="2425" w:type="dxa"/>
          <w:tcBorders>
            <w:top w:val="nil"/>
            <w:left w:val="nil"/>
            <w:bottom w:val="nil"/>
            <w:right w:val="nil"/>
          </w:tcBorders>
        </w:tcPr>
        <w:p w14:paraId="712CAA5D" w14:textId="0E214546" w:rsidR="00E06B7F" w:rsidRDefault="00EB379B" w:rsidP="00F52AB2">
          <w:pPr>
            <w:jc w:val="center"/>
          </w:pPr>
          <w:r>
            <w:t>BO001</w:t>
          </w:r>
        </w:p>
      </w:tc>
      <w:tc>
        <w:tcPr>
          <w:tcW w:w="241" w:type="dxa"/>
          <w:vMerge w:val="restart"/>
          <w:tcBorders>
            <w:top w:val="nil"/>
            <w:left w:val="nil"/>
            <w:bottom w:val="nil"/>
          </w:tcBorders>
        </w:tcPr>
        <w:p w14:paraId="5990B13D" w14:textId="77777777" w:rsidR="00E06B7F" w:rsidRPr="00235296" w:rsidRDefault="00E06B7F" w:rsidP="00F52AB2">
          <w:pPr>
            <w:rPr>
              <w:sz w:val="10"/>
              <w:szCs w:val="10"/>
            </w:rPr>
          </w:pPr>
        </w:p>
      </w:tc>
      <w:tc>
        <w:tcPr>
          <w:tcW w:w="5229" w:type="dxa"/>
          <w:vMerge w:val="restart"/>
          <w:tcBorders>
            <w:top w:val="nil"/>
            <w:right w:val="nil"/>
          </w:tcBorders>
        </w:tcPr>
        <w:p w14:paraId="1EEC49F4" w14:textId="77777777" w:rsidR="00E06B7F" w:rsidRDefault="00E06B7F" w:rsidP="00F52AB2"/>
      </w:tc>
    </w:tr>
    <w:tr w:rsidR="00E06B7F" w:rsidRPr="007E60A7" w14:paraId="3D5B5ECC" w14:textId="77777777" w:rsidTr="00E06B7F"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4640AD04" w14:textId="77777777" w:rsidR="00E06B7F" w:rsidRPr="000341E3" w:rsidRDefault="00E06B7F" w:rsidP="00F52AB2">
          <w:pPr>
            <w:spacing w:before="120"/>
            <w:jc w:val="center"/>
            <w:rPr>
              <w:rFonts w:ascii="Franklin Gothic Heavy" w:hAnsi="Franklin Gothic Heavy" w:cs="Calibri"/>
              <w:caps/>
              <w:sz w:val="24"/>
              <w:szCs w:val="24"/>
            </w:rPr>
          </w:pPr>
          <w:r w:rsidRPr="000341E3">
            <w:rPr>
              <w:rFonts w:ascii="Franklin Gothic Heavy" w:hAnsi="Franklin Gothic Heavy" w:cs="Calibri"/>
              <w:caps/>
              <w:sz w:val="24"/>
              <w:szCs w:val="24"/>
            </w:rPr>
            <w:t>Ordonnances pharmaceutiques</w:t>
          </w:r>
        </w:p>
        <w:sdt>
          <w:sdtPr>
            <w:rPr>
              <w:rFonts w:eastAsia="Calibri" w:cs="Times New Roman"/>
              <w:caps/>
              <w:sz w:val="24"/>
              <w:szCs w:val="22"/>
            </w:rPr>
            <w:id w:val="-1654599159"/>
          </w:sdtPr>
          <w:sdtEndPr>
            <w:rPr>
              <w:rFonts w:ascii="Calibri" w:hAnsi="Calibri" w:cs="Calibri"/>
              <w:b/>
              <w:caps w:val="0"/>
              <w:sz w:val="20"/>
              <w:szCs w:val="20"/>
            </w:rPr>
          </w:sdtEndPr>
          <w:sdtContent>
            <w:p w14:paraId="3A3A3FA1" w14:textId="77777777" w:rsidR="00E06B7F" w:rsidRPr="000341E3" w:rsidRDefault="00E06B7F" w:rsidP="00EB379B">
              <w:pPr>
                <w:spacing w:before="80"/>
                <w:jc w:val="center"/>
                <w:rPr>
                  <w:rFonts w:eastAsia="Calibri" w:cs="Times New Roman"/>
                  <w:caps/>
                  <w:sz w:val="24"/>
                  <w:szCs w:val="22"/>
                </w:rPr>
              </w:pPr>
              <w:r>
                <w:rPr>
                  <w:rFonts w:cs="Arial"/>
                  <w:sz w:val="24"/>
                  <w:szCs w:val="22"/>
                </w:rPr>
                <w:t>PROTOCOLE RAPIDE DE DÉSENSIBILISATION À L'ASPIRINE</w:t>
              </w:r>
            </w:p>
          </w:sdtContent>
        </w:sdt>
      </w:tc>
      <w:tc>
        <w:tcPr>
          <w:tcW w:w="241" w:type="dxa"/>
          <w:vMerge/>
          <w:tcBorders>
            <w:top w:val="nil"/>
            <w:left w:val="nil"/>
            <w:bottom w:val="nil"/>
          </w:tcBorders>
        </w:tcPr>
        <w:p w14:paraId="67A7E0C6" w14:textId="77777777" w:rsidR="00E06B7F" w:rsidRPr="007E60A7" w:rsidRDefault="00E06B7F" w:rsidP="00F52AB2">
          <w:pPr>
            <w:rPr>
              <w:rFonts w:cs="Times New Roman"/>
              <w:b/>
              <w:sz w:val="24"/>
              <w:szCs w:val="24"/>
            </w:rPr>
          </w:pPr>
        </w:p>
      </w:tc>
      <w:tc>
        <w:tcPr>
          <w:tcW w:w="5229" w:type="dxa"/>
          <w:vMerge/>
          <w:tcBorders>
            <w:bottom w:val="single" w:sz="4" w:space="0" w:color="auto"/>
            <w:right w:val="nil"/>
          </w:tcBorders>
        </w:tcPr>
        <w:p w14:paraId="2E66EB3D" w14:textId="77777777" w:rsidR="00E06B7F" w:rsidRPr="007E60A7" w:rsidRDefault="00E06B7F" w:rsidP="00F52AB2">
          <w:pPr>
            <w:rPr>
              <w:rFonts w:cs="Times New Roman"/>
              <w:b/>
              <w:sz w:val="24"/>
              <w:szCs w:val="24"/>
            </w:rPr>
          </w:pPr>
        </w:p>
      </w:tc>
    </w:tr>
  </w:tbl>
  <w:p w14:paraId="602000FA" w14:textId="77777777" w:rsidR="00E06B7F" w:rsidRDefault="00E06B7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511B4"/>
    <w:multiLevelType w:val="hybridMultilevel"/>
    <w:tmpl w:val="C11280EC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2166"/>
    <w:multiLevelType w:val="hybridMultilevel"/>
    <w:tmpl w:val="1F9E747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F5357"/>
    <w:multiLevelType w:val="hybridMultilevel"/>
    <w:tmpl w:val="F0800DE0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9390D"/>
    <w:multiLevelType w:val="hybridMultilevel"/>
    <w:tmpl w:val="EC7AC13A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3F7252F"/>
    <w:multiLevelType w:val="hybridMultilevel"/>
    <w:tmpl w:val="6EBA55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F3FB5"/>
    <w:multiLevelType w:val="hybridMultilevel"/>
    <w:tmpl w:val="B64E3DE2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F1009"/>
    <w:multiLevelType w:val="hybridMultilevel"/>
    <w:tmpl w:val="5268C4BE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16C99"/>
    <w:multiLevelType w:val="hybridMultilevel"/>
    <w:tmpl w:val="74288908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A6B88"/>
    <w:multiLevelType w:val="hybridMultilevel"/>
    <w:tmpl w:val="4940707C"/>
    <w:lvl w:ilvl="0" w:tplc="16BEF90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448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51CBC"/>
    <w:rsid w:val="00062140"/>
    <w:rsid w:val="00066498"/>
    <w:rsid w:val="00070E19"/>
    <w:rsid w:val="00071405"/>
    <w:rsid w:val="00082B7C"/>
    <w:rsid w:val="000833BE"/>
    <w:rsid w:val="00091D29"/>
    <w:rsid w:val="00093E41"/>
    <w:rsid w:val="000A49EB"/>
    <w:rsid w:val="000B0CE2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052B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47BA"/>
    <w:rsid w:val="001A5019"/>
    <w:rsid w:val="001A5E6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B42D7"/>
    <w:rsid w:val="002C1273"/>
    <w:rsid w:val="002C43B5"/>
    <w:rsid w:val="002F2D35"/>
    <w:rsid w:val="002F36AE"/>
    <w:rsid w:val="002F5112"/>
    <w:rsid w:val="00301F87"/>
    <w:rsid w:val="00303E70"/>
    <w:rsid w:val="00310021"/>
    <w:rsid w:val="00311FF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3F2524"/>
    <w:rsid w:val="003F4F81"/>
    <w:rsid w:val="004051BD"/>
    <w:rsid w:val="00405412"/>
    <w:rsid w:val="00407309"/>
    <w:rsid w:val="004114C0"/>
    <w:rsid w:val="00420738"/>
    <w:rsid w:val="00433033"/>
    <w:rsid w:val="004339E7"/>
    <w:rsid w:val="00434F25"/>
    <w:rsid w:val="004437CA"/>
    <w:rsid w:val="00443FEC"/>
    <w:rsid w:val="0044694E"/>
    <w:rsid w:val="00447DE3"/>
    <w:rsid w:val="00457CA3"/>
    <w:rsid w:val="00471107"/>
    <w:rsid w:val="004803DF"/>
    <w:rsid w:val="00482107"/>
    <w:rsid w:val="004A0A54"/>
    <w:rsid w:val="004A1100"/>
    <w:rsid w:val="004A1B63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0FF0"/>
    <w:rsid w:val="0056473C"/>
    <w:rsid w:val="00564EA3"/>
    <w:rsid w:val="00567DF9"/>
    <w:rsid w:val="00571C42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522"/>
    <w:rsid w:val="00605F08"/>
    <w:rsid w:val="00620216"/>
    <w:rsid w:val="006215BC"/>
    <w:rsid w:val="006252EA"/>
    <w:rsid w:val="00630AE7"/>
    <w:rsid w:val="00632ADF"/>
    <w:rsid w:val="00635C2B"/>
    <w:rsid w:val="00636228"/>
    <w:rsid w:val="00637762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A4CB4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29CE"/>
    <w:rsid w:val="00745B52"/>
    <w:rsid w:val="0074748B"/>
    <w:rsid w:val="00767466"/>
    <w:rsid w:val="007709CC"/>
    <w:rsid w:val="00774E2B"/>
    <w:rsid w:val="00792C2B"/>
    <w:rsid w:val="00795C65"/>
    <w:rsid w:val="007B5879"/>
    <w:rsid w:val="007D699E"/>
    <w:rsid w:val="007E1165"/>
    <w:rsid w:val="007E3435"/>
    <w:rsid w:val="007E387C"/>
    <w:rsid w:val="007E5095"/>
    <w:rsid w:val="007E60A7"/>
    <w:rsid w:val="007F5B9C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96D01"/>
    <w:rsid w:val="008A09BC"/>
    <w:rsid w:val="008A0BD7"/>
    <w:rsid w:val="008A70BF"/>
    <w:rsid w:val="008A7675"/>
    <w:rsid w:val="008B3E8E"/>
    <w:rsid w:val="008B6A15"/>
    <w:rsid w:val="008D0C30"/>
    <w:rsid w:val="008D7766"/>
    <w:rsid w:val="008E706E"/>
    <w:rsid w:val="008F118D"/>
    <w:rsid w:val="008F1D10"/>
    <w:rsid w:val="008F3923"/>
    <w:rsid w:val="008F3A55"/>
    <w:rsid w:val="008F4033"/>
    <w:rsid w:val="008F75E7"/>
    <w:rsid w:val="00900571"/>
    <w:rsid w:val="00901A01"/>
    <w:rsid w:val="009038C3"/>
    <w:rsid w:val="00905ED1"/>
    <w:rsid w:val="00907A97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65F5D"/>
    <w:rsid w:val="00967B46"/>
    <w:rsid w:val="00975FB3"/>
    <w:rsid w:val="00976FCE"/>
    <w:rsid w:val="00977D87"/>
    <w:rsid w:val="00983311"/>
    <w:rsid w:val="0099660B"/>
    <w:rsid w:val="009A259E"/>
    <w:rsid w:val="009B4637"/>
    <w:rsid w:val="009C0186"/>
    <w:rsid w:val="009C1084"/>
    <w:rsid w:val="009C7674"/>
    <w:rsid w:val="009D4239"/>
    <w:rsid w:val="009E26B0"/>
    <w:rsid w:val="009F46D5"/>
    <w:rsid w:val="00A140AA"/>
    <w:rsid w:val="00A204E7"/>
    <w:rsid w:val="00A22BFA"/>
    <w:rsid w:val="00A27FAD"/>
    <w:rsid w:val="00A402CD"/>
    <w:rsid w:val="00A41752"/>
    <w:rsid w:val="00A45F43"/>
    <w:rsid w:val="00A60AFD"/>
    <w:rsid w:val="00A731AD"/>
    <w:rsid w:val="00A76147"/>
    <w:rsid w:val="00A81C61"/>
    <w:rsid w:val="00A949B4"/>
    <w:rsid w:val="00AA42B5"/>
    <w:rsid w:val="00AA7219"/>
    <w:rsid w:val="00AA72DB"/>
    <w:rsid w:val="00AB1887"/>
    <w:rsid w:val="00AB6D75"/>
    <w:rsid w:val="00AC0F6D"/>
    <w:rsid w:val="00AC0F99"/>
    <w:rsid w:val="00AC5A1F"/>
    <w:rsid w:val="00AC6F86"/>
    <w:rsid w:val="00AE4C39"/>
    <w:rsid w:val="00AE6F8F"/>
    <w:rsid w:val="00AE737C"/>
    <w:rsid w:val="00AF061D"/>
    <w:rsid w:val="00AF0A58"/>
    <w:rsid w:val="00AF1688"/>
    <w:rsid w:val="00AF6B83"/>
    <w:rsid w:val="00B010F7"/>
    <w:rsid w:val="00B033B8"/>
    <w:rsid w:val="00B05BC8"/>
    <w:rsid w:val="00B10DB5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94FA0"/>
    <w:rsid w:val="00B96A20"/>
    <w:rsid w:val="00BC0E33"/>
    <w:rsid w:val="00BC11CE"/>
    <w:rsid w:val="00BC6B93"/>
    <w:rsid w:val="00BD2D2B"/>
    <w:rsid w:val="00BD7566"/>
    <w:rsid w:val="00BE2388"/>
    <w:rsid w:val="00BE3099"/>
    <w:rsid w:val="00BF094F"/>
    <w:rsid w:val="00BF43E6"/>
    <w:rsid w:val="00BF5C26"/>
    <w:rsid w:val="00C007DA"/>
    <w:rsid w:val="00C0455E"/>
    <w:rsid w:val="00C04C2D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4554"/>
    <w:rsid w:val="00CE3CE8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E623B"/>
    <w:rsid w:val="00DF3D4A"/>
    <w:rsid w:val="00E02B7A"/>
    <w:rsid w:val="00E05629"/>
    <w:rsid w:val="00E06B7F"/>
    <w:rsid w:val="00E07AEA"/>
    <w:rsid w:val="00E14E44"/>
    <w:rsid w:val="00E4430B"/>
    <w:rsid w:val="00E5250E"/>
    <w:rsid w:val="00E574F4"/>
    <w:rsid w:val="00E635C8"/>
    <w:rsid w:val="00E65DC0"/>
    <w:rsid w:val="00E8643D"/>
    <w:rsid w:val="00E94A6B"/>
    <w:rsid w:val="00EA6073"/>
    <w:rsid w:val="00EB084C"/>
    <w:rsid w:val="00EB0880"/>
    <w:rsid w:val="00EB379B"/>
    <w:rsid w:val="00EC172C"/>
    <w:rsid w:val="00EC2C59"/>
    <w:rsid w:val="00EC2D61"/>
    <w:rsid w:val="00EC5B8F"/>
    <w:rsid w:val="00ED0C88"/>
    <w:rsid w:val="00ED7D3B"/>
    <w:rsid w:val="00EE3FAA"/>
    <w:rsid w:val="00EE40A9"/>
    <w:rsid w:val="00EE55D8"/>
    <w:rsid w:val="00EE5EE9"/>
    <w:rsid w:val="00EF2414"/>
    <w:rsid w:val="00EF3DF1"/>
    <w:rsid w:val="00F01ECC"/>
    <w:rsid w:val="00F26AC5"/>
    <w:rsid w:val="00F32971"/>
    <w:rsid w:val="00F3316A"/>
    <w:rsid w:val="00F34AED"/>
    <w:rsid w:val="00F351DA"/>
    <w:rsid w:val="00F40978"/>
    <w:rsid w:val="00F40BBC"/>
    <w:rsid w:val="00F54F2A"/>
    <w:rsid w:val="00F56984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A3939"/>
    <w:rsid w:val="00FB0594"/>
    <w:rsid w:val="00FB08C0"/>
    <w:rsid w:val="00FB0A80"/>
    <w:rsid w:val="00FB27EA"/>
    <w:rsid w:val="00FB73CB"/>
    <w:rsid w:val="00FC009E"/>
    <w:rsid w:val="00FC03F8"/>
    <w:rsid w:val="00FC42E1"/>
    <w:rsid w:val="00FC5C81"/>
    <w:rsid w:val="00FD1215"/>
    <w:rsid w:val="00FD583F"/>
    <w:rsid w:val="00FE0206"/>
    <w:rsid w:val="00FE2BEC"/>
    <w:rsid w:val="00FE2E9C"/>
    <w:rsid w:val="00FE4278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C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84"/>
    <w:rPr>
      <w:rFonts w:ascii="Franklin Gothic Book" w:hAnsi="Franklin Gothic Book"/>
    </w:rPr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84"/>
    <w:rPr>
      <w:rFonts w:ascii="Franklin Gothic Book" w:hAnsi="Franklin Gothic Book"/>
    </w:rPr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DD70-624E-4021-89EA-0513F913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0</TotalTime>
  <Pages>3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Melanie Lacerte</cp:lastModifiedBy>
  <cp:revision>2</cp:revision>
  <cp:lastPrinted>2022-11-02T14:46:00Z</cp:lastPrinted>
  <dcterms:created xsi:type="dcterms:W3CDTF">2024-07-10T14:53:00Z</dcterms:created>
  <dcterms:modified xsi:type="dcterms:W3CDTF">2024-07-10T14:53:00Z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-504476455</vt:i4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2023-08-07T19:18:17Z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27591902-909b-4ebe-8f00-37d98da3f727</vt:lpwstr>
  </property>
  <property fmtid="{D5CDD505-2E9C-101B-9397-08002B2CF9AE}" pid="9" name="MSIP_Label_6a7d8d5d-78e2-4a62-9fcd-016eb5e4c57c_ContentBits">
    <vt:lpwstr>0</vt:lpwstr>
  </property>
</Properties>
</file>